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7CB4" w14:textId="52789B57" w:rsidR="005C40C1" w:rsidRDefault="005C40C1" w:rsidP="005C40C1">
      <w:pPr>
        <w:pStyle w:val="Default"/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8564EE1" wp14:editId="121CDC7E">
            <wp:extent cx="2063750" cy="7556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3"/>
          <w:szCs w:val="23"/>
        </w:rPr>
        <w:t xml:space="preserve">Center for Health &amp; Counseling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p w14:paraId="61BCF029" w14:textId="77777777" w:rsidR="005C40C1" w:rsidRDefault="005C40C1" w:rsidP="005C40C1">
      <w:pPr>
        <w:pStyle w:val="Default"/>
        <w:pBdr>
          <w:bottom w:val="single" w:sz="12" w:space="1" w:color="auto"/>
        </w:pBdr>
        <w:rPr>
          <w:sz w:val="14"/>
          <w:szCs w:val="14"/>
        </w:rPr>
      </w:pPr>
      <w:r>
        <w:rPr>
          <w:b/>
          <w:bCs/>
          <w:sz w:val="28"/>
          <w:szCs w:val="28"/>
        </w:rPr>
        <w:t xml:space="preserve">Counseling Services </w:t>
      </w:r>
      <w:r>
        <w:t xml:space="preserve">      </w:t>
      </w:r>
      <w:r w:rsidRPr="008C6C8B">
        <w:rPr>
          <w:sz w:val="14"/>
          <w:szCs w:val="14"/>
        </w:rPr>
        <w:t>4600 South Redwood Road, STC035, Salt Lake City, UT 84123 ● 801-957-4268 (office) ● 801-957-4341 (fax)</w:t>
      </w:r>
    </w:p>
    <w:p w14:paraId="50356C42" w14:textId="2C87038F" w:rsidR="005C40C1" w:rsidRPr="00CA67B8" w:rsidRDefault="005C40C1" w:rsidP="00756379">
      <w:pPr>
        <w:spacing w:after="0"/>
        <w:rPr>
          <w:sz w:val="28"/>
          <w:szCs w:val="28"/>
        </w:rPr>
      </w:pPr>
    </w:p>
    <w:p w14:paraId="52A047C9" w14:textId="3B0B9FFE" w:rsidR="005C40C1" w:rsidRDefault="005C40C1" w:rsidP="005C40C1">
      <w:pPr>
        <w:jc w:val="center"/>
        <w:rPr>
          <w:b/>
          <w:bCs/>
        </w:rPr>
      </w:pPr>
      <w:r w:rsidRPr="005C40C1">
        <w:rPr>
          <w:b/>
          <w:bCs/>
          <w:sz w:val="28"/>
          <w:szCs w:val="28"/>
        </w:rPr>
        <w:t xml:space="preserve">Supplemental </w:t>
      </w:r>
      <w:r w:rsidR="005C1519">
        <w:rPr>
          <w:b/>
          <w:bCs/>
          <w:sz w:val="28"/>
          <w:szCs w:val="28"/>
        </w:rPr>
        <w:t xml:space="preserve">Informed </w:t>
      </w:r>
      <w:r w:rsidRPr="005C40C1">
        <w:rPr>
          <w:b/>
          <w:bCs/>
          <w:sz w:val="28"/>
          <w:szCs w:val="28"/>
        </w:rPr>
        <w:t xml:space="preserve">Consent Form for </w:t>
      </w:r>
      <w:proofErr w:type="spellStart"/>
      <w:r w:rsidRPr="005C40C1">
        <w:rPr>
          <w:b/>
          <w:bCs/>
          <w:sz w:val="28"/>
          <w:szCs w:val="28"/>
        </w:rPr>
        <w:t>Tele</w:t>
      </w:r>
      <w:r w:rsidR="00C770E0">
        <w:rPr>
          <w:b/>
          <w:bCs/>
          <w:sz w:val="28"/>
          <w:szCs w:val="28"/>
        </w:rPr>
        <w:t>m</w:t>
      </w:r>
      <w:r w:rsidRPr="005C40C1">
        <w:rPr>
          <w:b/>
          <w:bCs/>
          <w:sz w:val="28"/>
          <w:szCs w:val="28"/>
        </w:rPr>
        <w:t>ental</w:t>
      </w:r>
      <w:proofErr w:type="spellEnd"/>
      <w:r w:rsidRPr="005C40C1">
        <w:rPr>
          <w:b/>
          <w:bCs/>
          <w:sz w:val="28"/>
          <w:szCs w:val="28"/>
        </w:rPr>
        <w:t xml:space="preserve"> Health</w:t>
      </w:r>
    </w:p>
    <w:p w14:paraId="7FB9A2B3" w14:textId="7C3BDE09" w:rsidR="00C63EC6" w:rsidRDefault="005C40C1" w:rsidP="0097019F">
      <w:pPr>
        <w:spacing w:after="0" w:line="240" w:lineRule="auto"/>
      </w:pPr>
      <w:r>
        <w:t>This document is an addendum to the Center for Health &amp; Counseling’s (CHC) standard informed consent and does not replace it.</w:t>
      </w:r>
      <w:r w:rsidR="000E6250">
        <w:t xml:space="preserve"> </w:t>
      </w:r>
      <w:r>
        <w:t xml:space="preserve">All aspects of informed consent for treatment in our standard informed consent </w:t>
      </w:r>
      <w:r w:rsidR="00C63EC6">
        <w:t xml:space="preserve">documents </w:t>
      </w:r>
      <w:r>
        <w:t>appl</w:t>
      </w:r>
      <w:r w:rsidR="0097019F">
        <w:t>y</w:t>
      </w:r>
      <w:r>
        <w:t xml:space="preserve"> to </w:t>
      </w:r>
      <w:proofErr w:type="spellStart"/>
      <w:r>
        <w:t>Telemental</w:t>
      </w:r>
      <w:proofErr w:type="spellEnd"/>
      <w:r>
        <w:t xml:space="preserve"> Health (TMH).</w:t>
      </w:r>
      <w:r w:rsidR="00C736BF">
        <w:t xml:space="preserve"> </w:t>
      </w:r>
      <w:r w:rsidR="0097019F">
        <w:t xml:space="preserve">TMH is a broad term that refers to mental health services and information which are provided electronically or with the use of technology. </w:t>
      </w:r>
      <w:r w:rsidR="005F7ECD">
        <w:t>T</w:t>
      </w:r>
      <w:r w:rsidR="0097019F">
        <w:t xml:space="preserve">his form of service may include mental health education, </w:t>
      </w:r>
      <w:r w:rsidR="0092152E">
        <w:t xml:space="preserve">diagnosis, </w:t>
      </w:r>
      <w:r w:rsidR="0097019F">
        <w:t>consultation, counseling</w:t>
      </w:r>
      <w:r w:rsidR="007B04F6">
        <w:t>, medication management</w:t>
      </w:r>
      <w:r w:rsidR="0097019F">
        <w:t xml:space="preserve"> and referral to resources. </w:t>
      </w:r>
      <w:r w:rsidR="00C63EC6">
        <w:t xml:space="preserve">As provided by the CHC, </w:t>
      </w:r>
      <w:r w:rsidR="0097019F">
        <w:t>TMH may include</w:t>
      </w:r>
      <w:r w:rsidR="00C63EC6">
        <w:t xml:space="preserve"> telephone conversations or videoconferencing.</w:t>
      </w:r>
      <w:r w:rsidR="0092152E">
        <w:t xml:space="preserve"> Email and text messaging are usually not provided.</w:t>
      </w:r>
      <w:r w:rsidR="00C736BF">
        <w:t xml:space="preserve"> </w:t>
      </w:r>
      <w:r w:rsidR="00C63EC6">
        <w:t xml:space="preserve">TMH is currently being offered </w:t>
      </w:r>
      <w:r w:rsidR="00C736BF">
        <w:t xml:space="preserve">in response to the </w:t>
      </w:r>
      <w:r w:rsidR="00C63EC6">
        <w:t>COVID-19</w:t>
      </w:r>
      <w:r w:rsidR="00C736BF">
        <w:t xml:space="preserve"> outbreak</w:t>
      </w:r>
      <w:r w:rsidR="00C63EC6">
        <w:t xml:space="preserve"> and in accordance with Federal and State recommendations for social distancing.</w:t>
      </w:r>
    </w:p>
    <w:p w14:paraId="1575DF64" w14:textId="77777777" w:rsidR="00C63EC6" w:rsidRDefault="00C63EC6" w:rsidP="0097019F">
      <w:pPr>
        <w:spacing w:after="0" w:line="240" w:lineRule="auto"/>
      </w:pPr>
    </w:p>
    <w:p w14:paraId="12643355" w14:textId="3DA58BAA" w:rsidR="00A205F3" w:rsidRDefault="00C736BF" w:rsidP="0097019F">
      <w:pPr>
        <w:spacing w:after="0" w:line="240" w:lineRule="auto"/>
      </w:pPr>
      <w:r>
        <w:t>The following conditions pertain to your use and participation in TMH:</w:t>
      </w:r>
    </w:p>
    <w:p w14:paraId="5B5257FD" w14:textId="33385010" w:rsidR="00C63EC6" w:rsidRDefault="00A205F3" w:rsidP="0097019F">
      <w:pPr>
        <w:spacing w:after="0" w:line="240" w:lineRule="auto"/>
      </w:pPr>
      <w:r>
        <w:t xml:space="preserve">  </w:t>
      </w:r>
    </w:p>
    <w:p w14:paraId="2733A79B" w14:textId="14EF49FA" w:rsidR="00A205F3" w:rsidRDefault="00A72B80" w:rsidP="00A205F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You </w:t>
      </w:r>
      <w:r w:rsidR="00C63EC6">
        <w:t>have the right to withhold or withdraw consent at any time</w:t>
      </w:r>
      <w:r w:rsidR="007471E5">
        <w:t xml:space="preserve">. This will not affect </w:t>
      </w:r>
      <w:r>
        <w:t>your</w:t>
      </w:r>
      <w:r w:rsidR="007471E5">
        <w:t xml:space="preserve"> right to future care and </w:t>
      </w:r>
      <w:r w:rsidR="00925475">
        <w:t xml:space="preserve">treatment </w:t>
      </w:r>
      <w:r w:rsidR="007471E5">
        <w:t xml:space="preserve">at the CHC once normal operations and face-to-face </w:t>
      </w:r>
      <w:r w:rsidR="00925475">
        <w:t>treatment</w:t>
      </w:r>
      <w:r w:rsidR="007471E5">
        <w:t xml:space="preserve"> are resumed.</w:t>
      </w:r>
    </w:p>
    <w:p w14:paraId="75EB6D76" w14:textId="77777777" w:rsidR="00A205F3" w:rsidRDefault="00A205F3" w:rsidP="00A205F3">
      <w:pPr>
        <w:pStyle w:val="ListParagraph"/>
        <w:spacing w:after="0" w:line="240" w:lineRule="auto"/>
      </w:pPr>
    </w:p>
    <w:p w14:paraId="32BD9E60" w14:textId="1489BD29" w:rsidR="00A205F3" w:rsidRDefault="00A205F3" w:rsidP="00A205F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use of TMH is subject to the discretion of </w:t>
      </w:r>
      <w:r w:rsidR="00A72B80">
        <w:t>your</w:t>
      </w:r>
      <w:r>
        <w:t xml:space="preserve"> CHC </w:t>
      </w:r>
      <w:r w:rsidR="007B04F6">
        <w:t>provider</w:t>
      </w:r>
      <w:r>
        <w:t xml:space="preserve">, based upon assessment of </w:t>
      </w:r>
      <w:r w:rsidR="00A72B80">
        <w:t>your</w:t>
      </w:r>
      <w:r>
        <w:t xml:space="preserve"> clinical condition, and may be discontinued if deemed inappropriate relative to </w:t>
      </w:r>
      <w:r w:rsidR="00A72B80">
        <w:t>your</w:t>
      </w:r>
      <w:r>
        <w:t xml:space="preserve"> current clinical needs.</w:t>
      </w:r>
      <w:r w:rsidR="006F61DF">
        <w:t xml:space="preserve"> Receiving TMH services may be contraindicated with:</w:t>
      </w:r>
    </w:p>
    <w:p w14:paraId="1E457584" w14:textId="04494541" w:rsidR="00A205F3" w:rsidRDefault="00A205F3" w:rsidP="00A205F3">
      <w:pPr>
        <w:pStyle w:val="ListParagraph"/>
        <w:numPr>
          <w:ilvl w:val="0"/>
          <w:numId w:val="6"/>
        </w:numPr>
        <w:spacing w:after="0" w:line="240" w:lineRule="auto"/>
      </w:pPr>
      <w:r>
        <w:t>Recent suicide attempt, psychiatric hospitalization, or psychotic symptoms</w:t>
      </w:r>
    </w:p>
    <w:p w14:paraId="09F27967" w14:textId="52C05A93" w:rsidR="00A205F3" w:rsidRDefault="00A205F3" w:rsidP="00A205F3">
      <w:pPr>
        <w:pStyle w:val="ListParagraph"/>
        <w:numPr>
          <w:ilvl w:val="0"/>
          <w:numId w:val="6"/>
        </w:numPr>
        <w:spacing w:after="0" w:line="240" w:lineRule="auto"/>
      </w:pPr>
      <w:r>
        <w:t>Moderate to severe major depression or bipolar symptoms</w:t>
      </w:r>
    </w:p>
    <w:p w14:paraId="385F9737" w14:textId="009AAA04" w:rsidR="00A205F3" w:rsidRDefault="00A205F3" w:rsidP="00A205F3">
      <w:pPr>
        <w:pStyle w:val="ListParagraph"/>
        <w:numPr>
          <w:ilvl w:val="0"/>
          <w:numId w:val="6"/>
        </w:numPr>
        <w:spacing w:after="0" w:line="240" w:lineRule="auto"/>
      </w:pPr>
      <w:r>
        <w:t>Moderate to severe alcohol or drug use</w:t>
      </w:r>
    </w:p>
    <w:p w14:paraId="48790DCE" w14:textId="3872F4BD" w:rsidR="00A205F3" w:rsidRDefault="00A205F3" w:rsidP="00A205F3">
      <w:pPr>
        <w:pStyle w:val="ListParagraph"/>
        <w:numPr>
          <w:ilvl w:val="0"/>
          <w:numId w:val="6"/>
        </w:numPr>
        <w:spacing w:after="0" w:line="240" w:lineRule="auto"/>
      </w:pPr>
      <w:r>
        <w:t>Severe eating disorders</w:t>
      </w:r>
    </w:p>
    <w:p w14:paraId="2D23D093" w14:textId="52C0B5BF" w:rsidR="00A205F3" w:rsidRDefault="00A205F3" w:rsidP="00A205F3">
      <w:pPr>
        <w:pStyle w:val="ListParagraph"/>
        <w:numPr>
          <w:ilvl w:val="0"/>
          <w:numId w:val="6"/>
        </w:numPr>
        <w:spacing w:after="0" w:line="240" w:lineRule="auto"/>
      </w:pPr>
      <w:r>
        <w:t>Repeated “acute” crises (occurring once a month or more frequently)</w:t>
      </w:r>
    </w:p>
    <w:p w14:paraId="46095054" w14:textId="628A73F2" w:rsidR="006E2B15" w:rsidRDefault="006E2B15" w:rsidP="00A205F3">
      <w:pPr>
        <w:pStyle w:val="ListParagraph"/>
        <w:numPr>
          <w:ilvl w:val="0"/>
          <w:numId w:val="6"/>
        </w:numPr>
        <w:spacing w:after="0" w:line="240" w:lineRule="auto"/>
      </w:pPr>
      <w:r>
        <w:t>Couples with a high level of conflict</w:t>
      </w:r>
    </w:p>
    <w:p w14:paraId="03F06FB1" w14:textId="0F0BF402" w:rsidR="0064661D" w:rsidRDefault="0064661D" w:rsidP="0064661D">
      <w:pPr>
        <w:spacing w:after="0" w:line="240" w:lineRule="auto"/>
        <w:ind w:left="720"/>
      </w:pPr>
      <w:r>
        <w:t>If TMH is not appropriate for you</w:t>
      </w:r>
      <w:r w:rsidR="00C770E0">
        <w:t>r condition</w:t>
      </w:r>
      <w:r>
        <w:t xml:space="preserve">, your </w:t>
      </w:r>
      <w:r w:rsidR="007B04F6">
        <w:t>provider</w:t>
      </w:r>
      <w:r>
        <w:t xml:space="preserve"> will </w:t>
      </w:r>
      <w:r w:rsidR="004F09E2">
        <w:t xml:space="preserve">work with you to </w:t>
      </w:r>
      <w:r>
        <w:t>refer you to other resources as appropriate.</w:t>
      </w:r>
    </w:p>
    <w:p w14:paraId="760BE448" w14:textId="77777777" w:rsidR="006F61DF" w:rsidRDefault="006F61DF" w:rsidP="006F61DF">
      <w:pPr>
        <w:spacing w:after="0" w:line="240" w:lineRule="auto"/>
      </w:pPr>
    </w:p>
    <w:p w14:paraId="6FE55963" w14:textId="0999A44A" w:rsidR="006F61DF" w:rsidRDefault="006F61DF" w:rsidP="006F61D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 order to receive TMH, </w:t>
      </w:r>
      <w:r w:rsidR="00A72B80">
        <w:t>you</w:t>
      </w:r>
      <w:r>
        <w:t xml:space="preserve"> must be physically located in the state of Utah.</w:t>
      </w:r>
      <w:r w:rsidR="004F09E2">
        <w:t xml:space="preserve"> </w:t>
      </w:r>
      <w:r>
        <w:t>TMH cannot currently be provided across state lines, or in international jurisdictions.</w:t>
      </w:r>
      <w:r w:rsidR="00756379">
        <w:t xml:space="preserve"> </w:t>
      </w:r>
      <w:r w:rsidR="007E5479">
        <w:t xml:space="preserve">Your </w:t>
      </w:r>
      <w:r w:rsidR="007B04F6">
        <w:t>provider</w:t>
      </w:r>
      <w:r w:rsidR="007E5479">
        <w:t xml:space="preserve"> will confirm this at each session.</w:t>
      </w:r>
    </w:p>
    <w:p w14:paraId="2937D3C1" w14:textId="77777777" w:rsidR="006F61DF" w:rsidRDefault="006F61DF" w:rsidP="006F61DF">
      <w:pPr>
        <w:spacing w:after="0" w:line="240" w:lineRule="auto"/>
        <w:ind w:left="360"/>
      </w:pPr>
    </w:p>
    <w:p w14:paraId="566C6926" w14:textId="77865E0C" w:rsidR="00057536" w:rsidRDefault="006F61DF" w:rsidP="006F61DF">
      <w:pPr>
        <w:pStyle w:val="ListParagraph"/>
        <w:numPr>
          <w:ilvl w:val="0"/>
          <w:numId w:val="5"/>
        </w:numPr>
        <w:spacing w:after="0" w:line="240" w:lineRule="auto"/>
      </w:pPr>
      <w:r>
        <w:t>TMH cannot be provided to students who are minors, unless consent is also provided and documented by a parent or legal guardian.</w:t>
      </w:r>
      <w:r w:rsidR="006E2B15">
        <w:t xml:space="preserve"> High-conflict couples may have to defer counseling until in-person sessions are resumed, as counselor management of conflict via TMH may be too difficult.</w:t>
      </w:r>
      <w:r w:rsidR="00875DC9">
        <w:t xml:space="preserve">  Couple counseling sessions are only offered via videoconferencing, and not provided by phone.</w:t>
      </w:r>
    </w:p>
    <w:p w14:paraId="180AB870" w14:textId="77777777" w:rsidR="00057536" w:rsidRDefault="00057536" w:rsidP="007E5479">
      <w:pPr>
        <w:pStyle w:val="ListParagraph"/>
        <w:spacing w:after="0"/>
      </w:pPr>
    </w:p>
    <w:p w14:paraId="368A453F" w14:textId="0969D08B" w:rsidR="00A72B80" w:rsidRPr="00A72B80" w:rsidRDefault="00057536" w:rsidP="007E547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t>The laws that protect the confidentiality of your personal information and clinical record also apply to TMH.</w:t>
      </w:r>
      <w:r w:rsidR="00756379">
        <w:t xml:space="preserve"> </w:t>
      </w:r>
      <w:r>
        <w:t xml:space="preserve">The same exceptions apply as in face-to-face </w:t>
      </w:r>
      <w:r w:rsidR="00925475">
        <w:t>treatment</w:t>
      </w:r>
      <w:r>
        <w:t>, which are enumerated in our standard informed consent forms.</w:t>
      </w:r>
    </w:p>
    <w:p w14:paraId="624A33A1" w14:textId="77777777" w:rsidR="00A72B80" w:rsidRPr="00A72B80" w:rsidRDefault="00A72B80" w:rsidP="007E5479">
      <w:pPr>
        <w:pStyle w:val="ListParagraph"/>
        <w:spacing w:after="0"/>
        <w:rPr>
          <w:rFonts w:ascii="Calibri" w:hAnsi="Calibri" w:cs="Calibri"/>
          <w:color w:val="000000" w:themeColor="text1"/>
        </w:rPr>
      </w:pPr>
    </w:p>
    <w:p w14:paraId="6ED7A7B8" w14:textId="62AC046C" w:rsidR="00A72B80" w:rsidRPr="00913E47" w:rsidRDefault="00A72B80" w:rsidP="007E547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t>The same laws that give you the right to access your clinical information and copies of treatment records also apply to TMH.</w:t>
      </w:r>
    </w:p>
    <w:p w14:paraId="3A61F7A4" w14:textId="77777777" w:rsidR="00913E47" w:rsidRPr="00913E47" w:rsidRDefault="00913E47" w:rsidP="007E5479">
      <w:pPr>
        <w:pStyle w:val="ListParagraph"/>
        <w:spacing w:after="0"/>
        <w:rPr>
          <w:rFonts w:ascii="Calibri" w:hAnsi="Calibri" w:cs="Calibri"/>
          <w:color w:val="000000" w:themeColor="text1"/>
        </w:rPr>
      </w:pPr>
    </w:p>
    <w:p w14:paraId="04061397" w14:textId="569CF978" w:rsidR="00913E47" w:rsidRDefault="00913E47" w:rsidP="0030259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A72B80">
        <w:rPr>
          <w:rFonts w:ascii="Calibri" w:hAnsi="Calibri" w:cs="Calibri"/>
          <w:color w:val="000000" w:themeColor="text1"/>
        </w:rPr>
        <w:t xml:space="preserve">TMH sessions will not be recorded by either the </w:t>
      </w:r>
      <w:r w:rsidR="007B04F6">
        <w:rPr>
          <w:rFonts w:ascii="Calibri" w:hAnsi="Calibri" w:cs="Calibri"/>
          <w:color w:val="000000" w:themeColor="text1"/>
        </w:rPr>
        <w:t>provider</w:t>
      </w:r>
      <w:r w:rsidRPr="00A72B80">
        <w:rPr>
          <w:rFonts w:ascii="Calibri" w:hAnsi="Calibri" w:cs="Calibri"/>
          <w:color w:val="000000" w:themeColor="text1"/>
        </w:rPr>
        <w:t xml:space="preserve"> o</w:t>
      </w:r>
      <w:r w:rsidR="004F09E2">
        <w:rPr>
          <w:rFonts w:ascii="Calibri" w:hAnsi="Calibri" w:cs="Calibri"/>
          <w:color w:val="000000" w:themeColor="text1"/>
        </w:rPr>
        <w:t>r</w:t>
      </w:r>
      <w:r w:rsidRPr="00A72B80">
        <w:rPr>
          <w:rFonts w:ascii="Calibri" w:hAnsi="Calibri" w:cs="Calibri"/>
          <w:color w:val="000000" w:themeColor="text1"/>
        </w:rPr>
        <w:t xml:space="preserve"> the client.</w:t>
      </w:r>
    </w:p>
    <w:p w14:paraId="792E288B" w14:textId="77777777" w:rsidR="00E01C20" w:rsidRPr="00E01C20" w:rsidRDefault="00E01C20" w:rsidP="00E01C20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34909B3" w14:textId="2F3C3D99" w:rsidR="00913E47" w:rsidRDefault="00913E47" w:rsidP="007E5479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913E47">
        <w:rPr>
          <w:rFonts w:ascii="Calibri" w:hAnsi="Calibri" w:cs="Calibri"/>
          <w:color w:val="000000" w:themeColor="text1"/>
        </w:rPr>
        <w:t>There are potential risks, consequences and limitations of TMH, including:</w:t>
      </w:r>
    </w:p>
    <w:p w14:paraId="3513E495" w14:textId="3A41235C" w:rsidR="00913E47" w:rsidRDefault="00913E47" w:rsidP="007E547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TMH is relatively new and </w:t>
      </w:r>
      <w:r w:rsidR="00AB026B">
        <w:t xml:space="preserve">some clients may not find it as </w:t>
      </w:r>
      <w:r>
        <w:t xml:space="preserve">effective as face-to face </w:t>
      </w:r>
      <w:r w:rsidR="00925475">
        <w:t>treatment</w:t>
      </w:r>
      <w:r w:rsidR="00302592">
        <w:t>.  While possible, beneficial results are not guaranteed.</w:t>
      </w:r>
    </w:p>
    <w:p w14:paraId="630294EC" w14:textId="608E4DEE" w:rsidR="00913E47" w:rsidRPr="00913E47" w:rsidRDefault="00913E47" w:rsidP="007E5479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t xml:space="preserve">TMH may lack the visual and audio cues available in face-to-face interactions, which could increase the likelihood of misunderstandings between the client and </w:t>
      </w:r>
      <w:r w:rsidR="00B868CE">
        <w:t>provider</w:t>
      </w:r>
      <w:r>
        <w:t>.</w:t>
      </w:r>
    </w:p>
    <w:p w14:paraId="3BD49BD7" w14:textId="77777777" w:rsidR="00913E47" w:rsidRDefault="00913E47" w:rsidP="007E5479">
      <w:pPr>
        <w:pStyle w:val="ListParagraph"/>
        <w:numPr>
          <w:ilvl w:val="0"/>
          <w:numId w:val="8"/>
        </w:numPr>
        <w:spacing w:after="0"/>
      </w:pPr>
      <w:r>
        <w:t>If videoconferencing is being used, there may be disruptions or delays in service and in the quality of imaging in the technology used.</w:t>
      </w:r>
    </w:p>
    <w:p w14:paraId="12E4C8A1" w14:textId="7D4C86B1" w:rsidR="0081639D" w:rsidRDefault="0092152E" w:rsidP="007E5479">
      <w:pPr>
        <w:pStyle w:val="ListParagraph"/>
        <w:numPr>
          <w:ilvl w:val="0"/>
          <w:numId w:val="8"/>
        </w:numPr>
        <w:spacing w:after="0"/>
      </w:pPr>
      <w:r>
        <w:t>In rare cases, security protocols could fail and confidential information could be accessed by unauthorized persons.</w:t>
      </w:r>
    </w:p>
    <w:p w14:paraId="7BD820F2" w14:textId="77777777" w:rsidR="0081639D" w:rsidRDefault="0081639D" w:rsidP="007E5479">
      <w:pPr>
        <w:pStyle w:val="ListParagraph"/>
        <w:spacing w:after="0"/>
        <w:ind w:left="1440"/>
      </w:pPr>
    </w:p>
    <w:p w14:paraId="16D26F03" w14:textId="105B7912" w:rsidR="00460248" w:rsidRDefault="007E5479" w:rsidP="007E5479">
      <w:pPr>
        <w:pStyle w:val="ListParagraph"/>
        <w:numPr>
          <w:ilvl w:val="0"/>
          <w:numId w:val="5"/>
        </w:numPr>
        <w:spacing w:after="0"/>
      </w:pPr>
      <w:r>
        <w:t>You will need to ensure the protection of confidentiality in your environment:</w:t>
      </w:r>
    </w:p>
    <w:p w14:paraId="20406582" w14:textId="201C82A0" w:rsidR="007E5479" w:rsidRDefault="007E5479" w:rsidP="007E5479">
      <w:pPr>
        <w:pStyle w:val="ListParagraph"/>
        <w:numPr>
          <w:ilvl w:val="0"/>
          <w:numId w:val="11"/>
        </w:numPr>
        <w:spacing w:after="0"/>
      </w:pPr>
      <w:r>
        <w:t>Engage in sessions only from a private location where you will not be overheard or interrupted.</w:t>
      </w:r>
    </w:p>
    <w:p w14:paraId="00CC04AD" w14:textId="162B5A27" w:rsidR="007E5479" w:rsidRDefault="007E5479" w:rsidP="007E5479">
      <w:pPr>
        <w:pStyle w:val="ListParagraph"/>
        <w:numPr>
          <w:ilvl w:val="0"/>
          <w:numId w:val="11"/>
        </w:numPr>
        <w:spacing w:after="0"/>
      </w:pPr>
      <w:r>
        <w:t>Use your own phone, or if videoconferencing, your own computer.</w:t>
      </w:r>
    </w:p>
    <w:p w14:paraId="182E39FA" w14:textId="63773D5A" w:rsidR="007E5479" w:rsidRDefault="007E5479" w:rsidP="007E5479">
      <w:pPr>
        <w:pStyle w:val="ListParagraph"/>
        <w:numPr>
          <w:ilvl w:val="0"/>
          <w:numId w:val="11"/>
        </w:numPr>
        <w:spacing w:after="0"/>
      </w:pPr>
      <w:r>
        <w:t>If using a computer, ensure that you are connected on a private internet connection or are only using a public connection in conjunction with a VPN service.</w:t>
      </w:r>
    </w:p>
    <w:p w14:paraId="7079897F" w14:textId="1BF1DD8A" w:rsidR="007E5479" w:rsidRDefault="007E5479" w:rsidP="007E5479">
      <w:pPr>
        <w:pStyle w:val="ListParagraph"/>
        <w:numPr>
          <w:ilvl w:val="0"/>
          <w:numId w:val="11"/>
        </w:numPr>
        <w:spacing w:after="0"/>
      </w:pPr>
      <w:r>
        <w:t>Ensure that the phone or computer you use has updated operating and anti-virus software.</w:t>
      </w:r>
    </w:p>
    <w:p w14:paraId="28CCA8D0" w14:textId="5B886DC6" w:rsidR="00302592" w:rsidRDefault="00302592" w:rsidP="00302592">
      <w:pPr>
        <w:spacing w:after="0"/>
      </w:pPr>
    </w:p>
    <w:p w14:paraId="73B90E7F" w14:textId="54AC2952" w:rsidR="00302592" w:rsidRDefault="00302592" w:rsidP="00302592">
      <w:pPr>
        <w:pStyle w:val="ListParagraph"/>
        <w:numPr>
          <w:ilvl w:val="0"/>
          <w:numId w:val="5"/>
        </w:numPr>
        <w:spacing w:after="0"/>
      </w:pPr>
      <w:r>
        <w:t>Any costs incurred from participating in TMH (e.g. use of phone minutes, cost of call) are the responsibility of the client.</w:t>
      </w:r>
    </w:p>
    <w:p w14:paraId="6BBA11C4" w14:textId="77777777" w:rsidR="00302592" w:rsidRDefault="00302592" w:rsidP="00302592">
      <w:pPr>
        <w:pStyle w:val="ListParagraph"/>
        <w:spacing w:after="0"/>
      </w:pPr>
    </w:p>
    <w:p w14:paraId="1BE81A0D" w14:textId="5CEC88D8" w:rsidR="00302592" w:rsidRDefault="00302592" w:rsidP="00302592">
      <w:pPr>
        <w:pStyle w:val="ListParagraph"/>
        <w:numPr>
          <w:ilvl w:val="0"/>
          <w:numId w:val="5"/>
        </w:numPr>
        <w:spacing w:after="0"/>
      </w:pPr>
      <w:r>
        <w:t xml:space="preserve">If you are experiencing an emergency, including a mental health crisis, please call 911, </w:t>
      </w:r>
      <w:r w:rsidR="003B1FF3">
        <w:t xml:space="preserve">call the UNI Crisis Line at 801 587-3000, use the </w:t>
      </w:r>
      <w:proofErr w:type="spellStart"/>
      <w:r w:rsidR="003B1FF3">
        <w:t>SafeUT</w:t>
      </w:r>
      <w:proofErr w:type="spellEnd"/>
      <w:r w:rsidR="003B1FF3">
        <w:t xml:space="preserve"> app, or go to your nearest emergency room.</w:t>
      </w:r>
    </w:p>
    <w:p w14:paraId="3FB27FD6" w14:textId="77777777" w:rsidR="003B1FF3" w:rsidRDefault="003B1FF3" w:rsidP="003B1FF3">
      <w:pPr>
        <w:pStyle w:val="ListParagraph"/>
      </w:pPr>
    </w:p>
    <w:p w14:paraId="794AA540" w14:textId="57819E90" w:rsidR="003B1FF3" w:rsidRDefault="003B1FF3" w:rsidP="00302592">
      <w:pPr>
        <w:pStyle w:val="ListParagraph"/>
        <w:numPr>
          <w:ilvl w:val="0"/>
          <w:numId w:val="5"/>
        </w:numPr>
        <w:spacing w:after="0"/>
      </w:pPr>
      <w:r>
        <w:t xml:space="preserve">So that your </w:t>
      </w:r>
      <w:r w:rsidR="00B868CE">
        <w:t>provider</w:t>
      </w:r>
      <w:r>
        <w:t xml:space="preserve"> can get you help in case of an emergency, you must inform your </w:t>
      </w:r>
      <w:r w:rsidR="00B868CE">
        <w:t>provider</w:t>
      </w:r>
      <w:r>
        <w:t xml:space="preserve"> of your location a</w:t>
      </w:r>
      <w:r w:rsidR="00C770E0">
        <w:t>t</w:t>
      </w:r>
      <w:r>
        <w:t xml:space="preserve"> the beginning of each session, and you must list an emergency contact (see below) who can be contacted in the event your </w:t>
      </w:r>
      <w:r w:rsidR="00B868CE">
        <w:t>prov</w:t>
      </w:r>
      <w:r w:rsidR="00925475">
        <w:t>i</w:t>
      </w:r>
      <w:r w:rsidR="00B868CE">
        <w:t>der</w:t>
      </w:r>
      <w:r>
        <w:t xml:space="preserve"> believes your safety is at risk.</w:t>
      </w:r>
    </w:p>
    <w:p w14:paraId="1F1E80AC" w14:textId="77777777" w:rsidR="000E6250" w:rsidRDefault="000E6250" w:rsidP="000E6250">
      <w:pPr>
        <w:pStyle w:val="ListParagraph"/>
      </w:pPr>
    </w:p>
    <w:p w14:paraId="3EC8241F" w14:textId="4F54C00F" w:rsidR="000E6250" w:rsidRDefault="000E6250" w:rsidP="00302592">
      <w:pPr>
        <w:pStyle w:val="ListParagraph"/>
        <w:numPr>
          <w:ilvl w:val="0"/>
          <w:numId w:val="5"/>
        </w:numPr>
        <w:spacing w:after="0"/>
      </w:pPr>
      <w:r>
        <w:t>If videoconferencing is being used</w:t>
      </w:r>
      <w:r w:rsidR="004F09E2">
        <w:t>, if t</w:t>
      </w:r>
      <w:r>
        <w:t xml:space="preserve">he connection is lost and you cannot restart it, the most reliable backup option is </w:t>
      </w:r>
      <w:r w:rsidR="004F09E2">
        <w:t xml:space="preserve">a </w:t>
      </w:r>
      <w:r>
        <w:t>phone. Therefore</w:t>
      </w:r>
      <w:r w:rsidR="004F09E2">
        <w:t>,</w:t>
      </w:r>
      <w:r>
        <w:t xml:space="preserve"> it is necessary that you always have a phone available and that your </w:t>
      </w:r>
      <w:r w:rsidR="00B868CE">
        <w:t>provider</w:t>
      </w:r>
      <w:r>
        <w:t xml:space="preserve"> knows your phone number.</w:t>
      </w:r>
      <w:r w:rsidR="00756379">
        <w:t xml:space="preserve"> </w:t>
      </w:r>
      <w:r w:rsidR="00B868CE">
        <w:t xml:space="preserve">Provider </w:t>
      </w:r>
      <w:r w:rsidR="00756379">
        <w:t>will call within five minutes of lost connection.</w:t>
      </w:r>
      <w:r>
        <w:t xml:space="preserve"> </w:t>
      </w:r>
    </w:p>
    <w:p w14:paraId="6B6850D5" w14:textId="77777777" w:rsidR="00302592" w:rsidRDefault="00302592" w:rsidP="00302592">
      <w:pPr>
        <w:pStyle w:val="ListParagraph"/>
        <w:spacing w:after="0"/>
      </w:pPr>
    </w:p>
    <w:p w14:paraId="1CD077A8" w14:textId="6154DFD9" w:rsidR="00302592" w:rsidRPr="00E9600F" w:rsidRDefault="00E9600F" w:rsidP="00E9600F">
      <w:pPr>
        <w:spacing w:after="0"/>
        <w:rPr>
          <w:b/>
          <w:bCs/>
        </w:rPr>
      </w:pPr>
      <w:r w:rsidRPr="00E9600F">
        <w:rPr>
          <w:b/>
          <w:bCs/>
        </w:rPr>
        <w:t>Consent to TMH Treatment</w:t>
      </w:r>
    </w:p>
    <w:p w14:paraId="799F7F6B" w14:textId="143E8962" w:rsidR="007D12B9" w:rsidRPr="002C0DD5" w:rsidRDefault="00E9600F" w:rsidP="002C0DD5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C0DD5">
        <w:rPr>
          <w:rFonts w:ascii="Calibri" w:hAnsi="Calibri" w:cs="Calibri"/>
        </w:rPr>
        <w:t xml:space="preserve">I have understood and acknowledge the information, risks, limitations and responsibilities </w:t>
      </w:r>
      <w:r w:rsidR="00924C8A" w:rsidRPr="002C0DD5">
        <w:rPr>
          <w:rFonts w:ascii="Calibri" w:hAnsi="Calibri" w:cs="Calibri"/>
        </w:rPr>
        <w:t>of</w:t>
      </w:r>
      <w:r w:rsidRPr="002C0DD5">
        <w:rPr>
          <w:rFonts w:ascii="Calibri" w:hAnsi="Calibri" w:cs="Calibri"/>
        </w:rPr>
        <w:t xml:space="preserve"> participation in T</w:t>
      </w:r>
      <w:r w:rsidR="009E779D" w:rsidRPr="002C0DD5">
        <w:rPr>
          <w:rFonts w:ascii="Calibri" w:hAnsi="Calibri" w:cs="Calibri"/>
        </w:rPr>
        <w:t>M</w:t>
      </w:r>
      <w:r w:rsidRPr="002C0DD5">
        <w:rPr>
          <w:rFonts w:ascii="Calibri" w:hAnsi="Calibri" w:cs="Calibri"/>
        </w:rPr>
        <w:t xml:space="preserve">H described </w:t>
      </w:r>
      <w:r w:rsidR="0034376B" w:rsidRPr="002C0DD5">
        <w:rPr>
          <w:rFonts w:ascii="Calibri" w:hAnsi="Calibri" w:cs="Calibri"/>
        </w:rPr>
        <w:t xml:space="preserve">in this document, </w:t>
      </w:r>
      <w:r w:rsidR="00BD6285" w:rsidRPr="002C0DD5">
        <w:rPr>
          <w:rFonts w:ascii="Calibri" w:hAnsi="Calibri" w:cs="Calibri"/>
        </w:rPr>
        <w:t>agree to abide by its terms,</w:t>
      </w:r>
      <w:r w:rsidRPr="002C0DD5">
        <w:rPr>
          <w:rFonts w:ascii="Calibri" w:hAnsi="Calibri" w:cs="Calibri"/>
        </w:rPr>
        <w:t xml:space="preserve"> and give my consent to be treated at the Center for Health &amp; Counseling. </w:t>
      </w:r>
    </w:p>
    <w:p w14:paraId="4154C4A7" w14:textId="115D09DB" w:rsidR="007D12B9" w:rsidRPr="002C0DD5" w:rsidRDefault="00E9600F" w:rsidP="002C0DD5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C0DD5">
        <w:rPr>
          <w:rFonts w:ascii="Calibri" w:hAnsi="Calibri" w:cs="Calibri"/>
        </w:rPr>
        <w:t xml:space="preserve">I understand that I </w:t>
      </w:r>
      <w:r w:rsidR="009E779D" w:rsidRPr="002C0DD5">
        <w:rPr>
          <w:rFonts w:ascii="Calibri" w:hAnsi="Calibri" w:cs="Calibri"/>
        </w:rPr>
        <w:t>can</w:t>
      </w:r>
      <w:r w:rsidRPr="002C0DD5">
        <w:rPr>
          <w:rFonts w:ascii="Calibri" w:hAnsi="Calibri" w:cs="Calibri"/>
        </w:rPr>
        <w:t xml:space="preserve"> discuss the information above with my </w:t>
      </w:r>
      <w:r w:rsidR="00B868CE">
        <w:rPr>
          <w:rFonts w:ascii="Calibri" w:hAnsi="Calibri" w:cs="Calibri"/>
        </w:rPr>
        <w:t>provider</w:t>
      </w:r>
      <w:r w:rsidRPr="002C0DD5">
        <w:rPr>
          <w:rFonts w:ascii="Calibri" w:hAnsi="Calibri" w:cs="Calibri"/>
        </w:rPr>
        <w:t xml:space="preserve"> and have </w:t>
      </w:r>
      <w:r w:rsidR="00085BAB" w:rsidRPr="002C0DD5">
        <w:rPr>
          <w:rFonts w:ascii="Calibri" w:hAnsi="Calibri" w:cs="Calibri"/>
        </w:rPr>
        <w:t xml:space="preserve">had </w:t>
      </w:r>
      <w:r w:rsidR="00B9361B" w:rsidRPr="002C0DD5">
        <w:rPr>
          <w:rFonts w:ascii="Calibri" w:hAnsi="Calibri" w:cs="Calibri"/>
        </w:rPr>
        <w:t>all</w:t>
      </w:r>
      <w:r w:rsidRPr="002C0DD5">
        <w:rPr>
          <w:rFonts w:ascii="Calibri" w:hAnsi="Calibri" w:cs="Calibri"/>
        </w:rPr>
        <w:t xml:space="preserve"> my questions answered to my satisfaction.</w:t>
      </w:r>
      <w:r w:rsidR="007D12B9" w:rsidRPr="002C0DD5">
        <w:rPr>
          <w:rFonts w:ascii="Calibri" w:hAnsi="Calibri" w:cs="Calibri"/>
        </w:rPr>
        <w:t xml:space="preserve"> </w:t>
      </w:r>
    </w:p>
    <w:p w14:paraId="572BF88F" w14:textId="1B8373BA" w:rsidR="007D12B9" w:rsidRPr="002C0DD5" w:rsidRDefault="007D12B9" w:rsidP="002C0DD5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2C0DD5">
        <w:rPr>
          <w:rFonts w:cstheme="minorHAnsi"/>
          <w:szCs w:val="20"/>
        </w:rPr>
        <w:t xml:space="preserve">I also </w:t>
      </w:r>
      <w:r w:rsidR="007C581A" w:rsidRPr="002C0DD5">
        <w:rPr>
          <w:rFonts w:cstheme="minorHAnsi"/>
          <w:szCs w:val="20"/>
        </w:rPr>
        <w:t>understand and a</w:t>
      </w:r>
      <w:r w:rsidRPr="002C0DD5">
        <w:rPr>
          <w:rFonts w:cstheme="minorHAnsi"/>
          <w:szCs w:val="20"/>
        </w:rPr>
        <w:t xml:space="preserve">cknowledge that all claims for negligence and other claims against </w:t>
      </w:r>
      <w:r w:rsidR="007C581A" w:rsidRPr="002C0DD5">
        <w:rPr>
          <w:rFonts w:cstheme="minorHAnsi"/>
          <w:szCs w:val="20"/>
        </w:rPr>
        <w:t xml:space="preserve">Salt Lake Community College </w:t>
      </w:r>
      <w:r w:rsidRPr="002C0DD5">
        <w:rPr>
          <w:rFonts w:cstheme="minorHAnsi"/>
          <w:szCs w:val="20"/>
        </w:rPr>
        <w:t>and its employees and agents, including</w:t>
      </w:r>
      <w:r w:rsidR="00B868CE">
        <w:rPr>
          <w:rFonts w:cstheme="minorHAnsi"/>
          <w:szCs w:val="20"/>
        </w:rPr>
        <w:t xml:space="preserve"> but not limited to</w:t>
      </w:r>
      <w:r w:rsidRPr="002C0DD5">
        <w:rPr>
          <w:rFonts w:cstheme="minorHAnsi"/>
          <w:szCs w:val="20"/>
        </w:rPr>
        <w:t xml:space="preserve"> </w:t>
      </w:r>
      <w:r w:rsidR="00B868CE">
        <w:rPr>
          <w:rFonts w:cstheme="minorHAnsi"/>
          <w:szCs w:val="20"/>
        </w:rPr>
        <w:t xml:space="preserve">psychologists, social </w:t>
      </w:r>
      <w:r w:rsidR="00B868CE">
        <w:rPr>
          <w:rFonts w:cstheme="minorHAnsi"/>
          <w:szCs w:val="20"/>
        </w:rPr>
        <w:lastRenderedPageBreak/>
        <w:t xml:space="preserve">workers, mental health counselors, nurses and psychiatric nurse practitioners </w:t>
      </w:r>
      <w:r w:rsidRPr="002C0DD5">
        <w:rPr>
          <w:rFonts w:cstheme="minorHAnsi"/>
          <w:szCs w:val="20"/>
        </w:rPr>
        <w:t>may be governed by the provisions of the Utah Governmental Immunity Act, Utah Code Annotated Section 63G 7-101 et seq., as may be amended from time to time, a special law restricting how and when a claim must be presented and limitations on the amount recovered.</w:t>
      </w:r>
    </w:p>
    <w:p w14:paraId="625DDD23" w14:textId="7AD4072E" w:rsidR="00F97BFB" w:rsidRDefault="00F97BFB" w:rsidP="00D667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33246640" w14:textId="77777777" w:rsidR="00CA67B8" w:rsidRDefault="00CA67B8" w:rsidP="00D667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57F9B2AF" w14:textId="154148A1" w:rsidR="00E923DF" w:rsidRPr="0020425D" w:rsidRDefault="00E923DF" w:rsidP="00D667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20425D">
        <w:rPr>
          <w:rFonts w:ascii="Calibri" w:eastAsia="Times New Roman" w:hAnsi="Calibri" w:cs="Calibri"/>
        </w:rPr>
        <w:t>__________________________________________________________________________________________</w:t>
      </w:r>
    </w:p>
    <w:p w14:paraId="4C2517CC" w14:textId="53632220" w:rsidR="00E923DF" w:rsidRDefault="00E923DF" w:rsidP="00D6673E">
      <w:pPr>
        <w:widowControl w:val="0"/>
        <w:autoSpaceDE w:val="0"/>
        <w:autoSpaceDN w:val="0"/>
        <w:adjustRightInd w:val="0"/>
        <w:spacing w:after="0" w:line="240" w:lineRule="auto"/>
      </w:pPr>
      <w:r w:rsidRPr="0020425D">
        <w:rPr>
          <w:rFonts w:ascii="Calibri" w:eastAsia="Times New Roman" w:hAnsi="Calibri" w:cs="Calibri"/>
        </w:rPr>
        <w:t>Cli</w:t>
      </w:r>
      <w:bookmarkStart w:id="0" w:name="_GoBack"/>
      <w:bookmarkEnd w:id="0"/>
      <w:r w:rsidRPr="0020425D">
        <w:rPr>
          <w:rFonts w:ascii="Calibri" w:eastAsia="Times New Roman" w:hAnsi="Calibri" w:cs="Calibri"/>
        </w:rPr>
        <w:t>ent Signature</w:t>
      </w:r>
      <w:r w:rsidRPr="0020425D">
        <w:rPr>
          <w:rFonts w:ascii="Calibri" w:eastAsia="Times New Roman" w:hAnsi="Calibri" w:cs="Calibri"/>
        </w:rPr>
        <w:tab/>
      </w:r>
      <w:r w:rsidRPr="0020425D">
        <w:rPr>
          <w:rFonts w:ascii="Calibri" w:eastAsia="Times New Roman" w:hAnsi="Calibri" w:cs="Calibri"/>
        </w:rPr>
        <w:tab/>
      </w:r>
      <w:r w:rsidRPr="0020425D">
        <w:rPr>
          <w:rFonts w:ascii="Calibri" w:eastAsia="Times New Roman" w:hAnsi="Calibri" w:cs="Calibri"/>
        </w:rPr>
        <w:tab/>
      </w:r>
      <w:r w:rsidRPr="0020425D">
        <w:rPr>
          <w:rFonts w:ascii="Calibri" w:eastAsia="Times New Roman" w:hAnsi="Calibri" w:cs="Calibri"/>
        </w:rPr>
        <w:tab/>
      </w:r>
      <w:r w:rsidRPr="0020425D">
        <w:rPr>
          <w:rFonts w:ascii="Calibri" w:eastAsia="Times New Roman" w:hAnsi="Calibri" w:cs="Calibri"/>
        </w:rPr>
        <w:tab/>
        <w:t>Please Print</w:t>
      </w:r>
      <w:r w:rsidR="0020425D">
        <w:rPr>
          <w:rFonts w:ascii="Calibri" w:eastAsia="Times New Roman" w:hAnsi="Calibri" w:cs="Calibri"/>
        </w:rPr>
        <w:t xml:space="preserve"> Name</w:t>
      </w:r>
      <w:r w:rsidR="0020425D">
        <w:rPr>
          <w:rFonts w:ascii="Calibri" w:eastAsia="Times New Roman" w:hAnsi="Calibri" w:cs="Calibri"/>
        </w:rPr>
        <w:tab/>
      </w:r>
      <w:r w:rsidR="0020425D">
        <w:rPr>
          <w:rFonts w:ascii="Calibri" w:eastAsia="Times New Roman" w:hAnsi="Calibri" w:cs="Calibri"/>
        </w:rPr>
        <w:tab/>
      </w:r>
      <w:r w:rsidR="0020425D">
        <w:rPr>
          <w:rFonts w:ascii="Calibri" w:eastAsia="Times New Roman" w:hAnsi="Calibri" w:cs="Calibri"/>
        </w:rPr>
        <w:tab/>
      </w:r>
      <w:r w:rsidR="0020425D">
        <w:rPr>
          <w:rFonts w:ascii="Calibri" w:eastAsia="Times New Roman" w:hAnsi="Calibri" w:cs="Calibri"/>
        </w:rPr>
        <w:tab/>
        <w:t>Dat</w:t>
      </w:r>
      <w:r w:rsidRPr="0020425D">
        <w:t>e</w:t>
      </w:r>
    </w:p>
    <w:p w14:paraId="1D2100D1" w14:textId="16290794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</w:p>
    <w:p w14:paraId="3F146E57" w14:textId="4C437C41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__________________________________________________________________________________________</w:t>
      </w:r>
    </w:p>
    <w:p w14:paraId="78BCE47D" w14:textId="5D6287D6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  <w:r>
        <w:t>Client Signature</w:t>
      </w:r>
      <w:r>
        <w:tab/>
      </w:r>
      <w:r>
        <w:tab/>
      </w:r>
      <w:r>
        <w:tab/>
      </w:r>
      <w:r>
        <w:tab/>
      </w:r>
      <w:r>
        <w:tab/>
        <w:t>Please Print Name</w:t>
      </w:r>
      <w:r>
        <w:tab/>
      </w:r>
      <w:r>
        <w:tab/>
      </w:r>
      <w:r>
        <w:tab/>
      </w:r>
      <w:r>
        <w:tab/>
        <w:t>Date</w:t>
      </w:r>
    </w:p>
    <w:p w14:paraId="28021574" w14:textId="72FDCE84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</w:p>
    <w:p w14:paraId="0DE893D2" w14:textId="66CFA1A2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__________________________________________________________________________________________</w:t>
      </w:r>
    </w:p>
    <w:p w14:paraId="07E52DA7" w14:textId="2FEE7FDA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  <w:r>
        <w:t>Therapist Signature / Witness</w:t>
      </w:r>
      <w:r>
        <w:tab/>
      </w:r>
      <w:r>
        <w:tab/>
      </w:r>
      <w:r>
        <w:tab/>
        <w:t>Please Print Name</w:t>
      </w:r>
      <w:r>
        <w:tab/>
      </w:r>
      <w:r>
        <w:tab/>
      </w:r>
      <w:r>
        <w:tab/>
      </w:r>
      <w:r>
        <w:tab/>
        <w:t>Date</w:t>
      </w:r>
    </w:p>
    <w:p w14:paraId="073F0A21" w14:textId="1874569A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</w:p>
    <w:p w14:paraId="422B17C7" w14:textId="56935CB3" w:rsidR="009B0984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__________________________________________________________________________________________</w:t>
      </w:r>
    </w:p>
    <w:p w14:paraId="2E5EE718" w14:textId="7D151E85" w:rsidR="00E923DF" w:rsidRDefault="009B0984" w:rsidP="00D6673E">
      <w:pPr>
        <w:widowControl w:val="0"/>
        <w:autoSpaceDE w:val="0"/>
        <w:autoSpaceDN w:val="0"/>
        <w:adjustRightInd w:val="0"/>
        <w:spacing w:after="0" w:line="240" w:lineRule="auto"/>
      </w:pPr>
      <w:r>
        <w:t>Parent or Legal Guardian</w:t>
      </w:r>
      <w:r>
        <w:tab/>
      </w:r>
      <w:r>
        <w:tab/>
      </w:r>
      <w:r>
        <w:tab/>
        <w:t>Please Print Name</w:t>
      </w:r>
      <w:r>
        <w:tab/>
      </w:r>
      <w:r>
        <w:tab/>
      </w:r>
      <w:r>
        <w:tab/>
      </w:r>
      <w:r>
        <w:tab/>
        <w:t>Date</w:t>
      </w:r>
    </w:p>
    <w:p w14:paraId="2E40D7F8" w14:textId="08A9FE1E" w:rsidR="0021242C" w:rsidRDefault="0021242C" w:rsidP="00D6673E">
      <w:pPr>
        <w:widowControl w:val="0"/>
        <w:autoSpaceDE w:val="0"/>
        <w:autoSpaceDN w:val="0"/>
        <w:adjustRightInd w:val="0"/>
        <w:spacing w:after="0" w:line="240" w:lineRule="auto"/>
      </w:pPr>
    </w:p>
    <w:p w14:paraId="4E4327B9" w14:textId="77777777" w:rsidR="0021242C" w:rsidRPr="00D6673E" w:rsidRDefault="0021242C" w:rsidP="0021242C">
      <w:pPr>
        <w:spacing w:after="0"/>
      </w:pPr>
    </w:p>
    <w:p w14:paraId="0BDABF2F" w14:textId="6C7B38E9" w:rsidR="0021242C" w:rsidRPr="009E779D" w:rsidRDefault="0021242C" w:rsidP="0021242C">
      <w:pPr>
        <w:spacing w:after="0"/>
        <w:rPr>
          <w:b/>
          <w:bCs/>
        </w:rPr>
      </w:pPr>
      <w:r w:rsidRPr="009E779D">
        <w:rPr>
          <w:b/>
          <w:bCs/>
        </w:rPr>
        <w:t>Emergency Contact:</w:t>
      </w:r>
    </w:p>
    <w:p w14:paraId="61E5261E" w14:textId="77777777" w:rsidR="0021242C" w:rsidRDefault="0021242C" w:rsidP="0021242C">
      <w:pPr>
        <w:spacing w:after="0"/>
      </w:pPr>
    </w:p>
    <w:p w14:paraId="2EF44802" w14:textId="77777777" w:rsidR="0021242C" w:rsidRPr="00E923DF" w:rsidRDefault="0021242C" w:rsidP="0021242C">
      <w:pPr>
        <w:spacing w:after="0"/>
      </w:pPr>
      <w:r>
        <w:t>Name: ___________________________________</w:t>
      </w:r>
      <w:r>
        <w:tab/>
        <w:t>Phone #: _________________________</w:t>
      </w:r>
    </w:p>
    <w:p w14:paraId="545995F5" w14:textId="77777777" w:rsidR="0021242C" w:rsidRPr="0021242C" w:rsidRDefault="0021242C" w:rsidP="0021242C"/>
    <w:sectPr w:rsidR="0021242C" w:rsidRPr="0021242C" w:rsidSect="00CA67B8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E5FB7" w14:textId="77777777" w:rsidR="000E6250" w:rsidRDefault="000E6250" w:rsidP="000E6250">
      <w:pPr>
        <w:spacing w:after="0" w:line="240" w:lineRule="auto"/>
      </w:pPr>
      <w:r>
        <w:separator/>
      </w:r>
    </w:p>
  </w:endnote>
  <w:endnote w:type="continuationSeparator" w:id="0">
    <w:p w14:paraId="35233D5F" w14:textId="77777777" w:rsidR="000E6250" w:rsidRDefault="000E6250" w:rsidP="000E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0BDC0" w14:textId="77777777" w:rsidR="000E6250" w:rsidRDefault="000E6250" w:rsidP="000E6250">
      <w:pPr>
        <w:spacing w:after="0" w:line="240" w:lineRule="auto"/>
      </w:pPr>
      <w:r>
        <w:separator/>
      </w:r>
    </w:p>
  </w:footnote>
  <w:footnote w:type="continuationSeparator" w:id="0">
    <w:p w14:paraId="53714707" w14:textId="77777777" w:rsidR="000E6250" w:rsidRDefault="000E6250" w:rsidP="000E6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4A1"/>
    <w:multiLevelType w:val="hybridMultilevel"/>
    <w:tmpl w:val="3ADA4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68E"/>
    <w:multiLevelType w:val="hybridMultilevel"/>
    <w:tmpl w:val="142E8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94AC4"/>
    <w:multiLevelType w:val="hybridMultilevel"/>
    <w:tmpl w:val="1FCC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12136"/>
    <w:multiLevelType w:val="hybridMultilevel"/>
    <w:tmpl w:val="BC56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E0B9D"/>
    <w:multiLevelType w:val="hybridMultilevel"/>
    <w:tmpl w:val="739E1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539"/>
    <w:multiLevelType w:val="hybridMultilevel"/>
    <w:tmpl w:val="2F42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75DE8"/>
    <w:multiLevelType w:val="hybridMultilevel"/>
    <w:tmpl w:val="BACCA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F4505"/>
    <w:multiLevelType w:val="hybridMultilevel"/>
    <w:tmpl w:val="12A8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34C6"/>
    <w:multiLevelType w:val="hybridMultilevel"/>
    <w:tmpl w:val="07B28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46883"/>
    <w:multiLevelType w:val="hybridMultilevel"/>
    <w:tmpl w:val="4C76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F5AEB"/>
    <w:multiLevelType w:val="hybridMultilevel"/>
    <w:tmpl w:val="607C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E1158"/>
    <w:multiLevelType w:val="hybridMultilevel"/>
    <w:tmpl w:val="32F6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C1"/>
    <w:rsid w:val="00023BAC"/>
    <w:rsid w:val="00057536"/>
    <w:rsid w:val="00085BAB"/>
    <w:rsid w:val="000E6250"/>
    <w:rsid w:val="00110BDC"/>
    <w:rsid w:val="0020425D"/>
    <w:rsid w:val="0021242C"/>
    <w:rsid w:val="00286B0D"/>
    <w:rsid w:val="002C0DD5"/>
    <w:rsid w:val="00302592"/>
    <w:rsid w:val="0034376B"/>
    <w:rsid w:val="003B1FF3"/>
    <w:rsid w:val="003B707F"/>
    <w:rsid w:val="00460248"/>
    <w:rsid w:val="004F09E2"/>
    <w:rsid w:val="005C1519"/>
    <w:rsid w:val="005C40C1"/>
    <w:rsid w:val="005F7ECD"/>
    <w:rsid w:val="0064661D"/>
    <w:rsid w:val="00684673"/>
    <w:rsid w:val="006E2B15"/>
    <w:rsid w:val="006F61DF"/>
    <w:rsid w:val="007471E5"/>
    <w:rsid w:val="00756379"/>
    <w:rsid w:val="007B04F6"/>
    <w:rsid w:val="007B0DCB"/>
    <w:rsid w:val="007C581A"/>
    <w:rsid w:val="007D12B9"/>
    <w:rsid w:val="007E5479"/>
    <w:rsid w:val="0081639D"/>
    <w:rsid w:val="00875DC9"/>
    <w:rsid w:val="00913E47"/>
    <w:rsid w:val="0092152E"/>
    <w:rsid w:val="00924C8A"/>
    <w:rsid w:val="00925475"/>
    <w:rsid w:val="0097019F"/>
    <w:rsid w:val="009B0984"/>
    <w:rsid w:val="009E779D"/>
    <w:rsid w:val="00A205F3"/>
    <w:rsid w:val="00A72B80"/>
    <w:rsid w:val="00AB026B"/>
    <w:rsid w:val="00AB45BC"/>
    <w:rsid w:val="00B868CE"/>
    <w:rsid w:val="00B9361B"/>
    <w:rsid w:val="00BD6285"/>
    <w:rsid w:val="00C113D1"/>
    <w:rsid w:val="00C63EC6"/>
    <w:rsid w:val="00C736BF"/>
    <w:rsid w:val="00C770E0"/>
    <w:rsid w:val="00CA67B8"/>
    <w:rsid w:val="00D16C0F"/>
    <w:rsid w:val="00D42409"/>
    <w:rsid w:val="00D6673E"/>
    <w:rsid w:val="00E01C20"/>
    <w:rsid w:val="00E923DF"/>
    <w:rsid w:val="00E9600F"/>
    <w:rsid w:val="00EE589E"/>
    <w:rsid w:val="00F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E0B96"/>
  <w15:chartTrackingRefBased/>
  <w15:docId w15:val="{368F6924-2F38-46EC-A5B8-E42A9990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50"/>
  </w:style>
  <w:style w:type="paragraph" w:styleId="Footer">
    <w:name w:val="footer"/>
    <w:basedOn w:val="Normal"/>
    <w:link w:val="FooterChar"/>
    <w:uiPriority w:val="99"/>
    <w:unhideWhenUsed/>
    <w:rsid w:val="000E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AB29-97BF-4D28-AD2B-D8853E33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Kadera</dc:creator>
  <cp:keywords/>
  <dc:description/>
  <cp:lastModifiedBy>Scott Kadera</cp:lastModifiedBy>
  <cp:revision>17</cp:revision>
  <dcterms:created xsi:type="dcterms:W3CDTF">2020-03-19T19:38:00Z</dcterms:created>
  <dcterms:modified xsi:type="dcterms:W3CDTF">2020-08-31T21:34:00Z</dcterms:modified>
</cp:coreProperties>
</file>