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C44E5" w14:textId="6448C975" w:rsidR="00AE7B68" w:rsidRPr="00396BD2" w:rsidRDefault="00F641C9">
      <w:pPr>
        <w:rPr>
          <w:rFonts w:ascii="Calibri" w:hAnsi="Calibri" w:cs="Calibri"/>
          <w:b/>
          <w:bCs/>
          <w:sz w:val="22"/>
          <w:szCs w:val="22"/>
        </w:rPr>
      </w:pPr>
      <w:r w:rsidRPr="008C21AB">
        <w:rPr>
          <w:rFonts w:ascii="Calibri" w:hAnsi="Calibri" w:cs="Calibri"/>
          <w:b/>
          <w:bCs/>
          <w:sz w:val="22"/>
          <w:szCs w:val="22"/>
        </w:rPr>
        <w:t xml:space="preserve">Concurrent Enrollment (CE) Adjunct Instructor </w:t>
      </w:r>
      <w:r w:rsidR="00900FA0" w:rsidRPr="008C21AB">
        <w:rPr>
          <w:rFonts w:ascii="Calibri" w:hAnsi="Calibri" w:cs="Calibri"/>
          <w:b/>
          <w:bCs/>
          <w:sz w:val="22"/>
          <w:szCs w:val="22"/>
        </w:rPr>
        <w:t>Eligibility</w:t>
      </w:r>
      <w:r w:rsidR="00396BD2">
        <w:rPr>
          <w:rFonts w:ascii="Calibri" w:hAnsi="Calibri" w:cs="Calibri"/>
          <w:b/>
          <w:bCs/>
          <w:sz w:val="22"/>
          <w:szCs w:val="22"/>
        </w:rPr>
        <w:t>/</w:t>
      </w:r>
      <w:r w:rsidR="004511B1">
        <w:rPr>
          <w:rFonts w:ascii="Calibri" w:hAnsi="Calibri" w:cs="Calibri"/>
          <w:sz w:val="22"/>
          <w:szCs w:val="22"/>
        </w:rPr>
        <w:t>established FY2019-20</w:t>
      </w:r>
      <w:r w:rsidR="00F96EFB">
        <w:rPr>
          <w:rFonts w:ascii="Calibri" w:hAnsi="Calibri" w:cs="Calibri"/>
          <w:sz w:val="22"/>
          <w:szCs w:val="22"/>
        </w:rPr>
        <w:br/>
      </w:r>
      <w:r w:rsidR="00F96EFB" w:rsidRPr="00F96EFB">
        <w:rPr>
          <w:rFonts w:ascii="Calibri" w:hAnsi="Calibri" w:cs="Calibri"/>
          <w:i/>
          <w:iCs/>
          <w:sz w:val="22"/>
          <w:szCs w:val="22"/>
        </w:rPr>
        <w:t>This document provides background information on the CE Faculty Appeals process.  LEAs that wish to appeal an institution decision should contact the appropriate CE Director for the formal appeal form.</w:t>
      </w:r>
    </w:p>
    <w:p w14:paraId="51626EC6" w14:textId="77777777" w:rsidR="00396BD2" w:rsidRPr="008C21AB" w:rsidRDefault="00396BD2">
      <w:pPr>
        <w:rPr>
          <w:rFonts w:ascii="Calibri" w:hAnsi="Calibri" w:cs="Calibri"/>
          <w:sz w:val="22"/>
          <w:szCs w:val="22"/>
        </w:rPr>
      </w:pPr>
    </w:p>
    <w:p w14:paraId="1C8197BC" w14:textId="50A07B16" w:rsidR="00AE7B68" w:rsidRPr="008C21AB" w:rsidRDefault="00F96EFB">
      <w:pPr>
        <w:rPr>
          <w:rFonts w:ascii="Calibri" w:hAnsi="Calibri" w:cs="Calibri"/>
          <w:b/>
          <w:bCs/>
          <w:sz w:val="22"/>
          <w:szCs w:val="22"/>
        </w:rPr>
      </w:pPr>
      <w:r>
        <w:rPr>
          <w:rFonts w:ascii="Calibri" w:hAnsi="Calibri" w:cs="Calibri"/>
          <w:b/>
          <w:bCs/>
          <w:sz w:val="22"/>
          <w:szCs w:val="22"/>
        </w:rPr>
        <w:t>BACKGROUND</w:t>
      </w:r>
      <w:r>
        <w:rPr>
          <w:rFonts w:ascii="Calibri" w:hAnsi="Calibri" w:cs="Calibri"/>
          <w:b/>
          <w:bCs/>
          <w:sz w:val="22"/>
          <w:szCs w:val="22"/>
        </w:rPr>
        <w:br/>
      </w:r>
      <w:r w:rsidR="00AE7B68" w:rsidRPr="008C21AB">
        <w:rPr>
          <w:rFonts w:ascii="Calibri" w:hAnsi="Calibri" w:cs="Calibri"/>
          <w:b/>
          <w:bCs/>
          <w:sz w:val="22"/>
          <w:szCs w:val="22"/>
        </w:rPr>
        <w:t>Statute and Rule</w:t>
      </w:r>
    </w:p>
    <w:p w14:paraId="4BC08CC5" w14:textId="2B7AB515" w:rsidR="00F641C9" w:rsidRPr="008C21AB" w:rsidRDefault="00744BC9">
      <w:pPr>
        <w:rPr>
          <w:rFonts w:ascii="Calibri" w:hAnsi="Calibri" w:cs="Calibri"/>
          <w:sz w:val="22"/>
          <w:szCs w:val="22"/>
        </w:rPr>
      </w:pPr>
      <w:r w:rsidRPr="008C21AB">
        <w:rPr>
          <w:rFonts w:ascii="Calibri" w:hAnsi="Calibri" w:cs="Calibri"/>
          <w:sz w:val="22"/>
          <w:szCs w:val="22"/>
        </w:rPr>
        <w:t xml:space="preserve">SB291, passed during the Utah legislature’s 2019 General Session, lists the </w:t>
      </w:r>
      <w:r w:rsidR="007E724C" w:rsidRPr="008C21AB">
        <w:rPr>
          <w:rFonts w:ascii="Calibri" w:hAnsi="Calibri" w:cs="Calibri"/>
          <w:sz w:val="22"/>
          <w:szCs w:val="22"/>
        </w:rPr>
        <w:t xml:space="preserve">conditions under which </w:t>
      </w:r>
      <w:r w:rsidRPr="008C21AB">
        <w:rPr>
          <w:rFonts w:ascii="Calibri" w:hAnsi="Calibri" w:cs="Calibri"/>
          <w:sz w:val="22"/>
          <w:szCs w:val="22"/>
        </w:rPr>
        <w:t xml:space="preserve">public educators </w:t>
      </w:r>
      <w:r w:rsidR="007E724C" w:rsidRPr="008C21AB">
        <w:rPr>
          <w:rFonts w:ascii="Calibri" w:hAnsi="Calibri" w:cs="Calibri"/>
          <w:sz w:val="22"/>
          <w:szCs w:val="22"/>
        </w:rPr>
        <w:t xml:space="preserve">are </w:t>
      </w:r>
      <w:r w:rsidR="001E38D9" w:rsidRPr="008C21AB">
        <w:rPr>
          <w:rFonts w:ascii="Calibri" w:hAnsi="Calibri" w:cs="Calibri"/>
          <w:sz w:val="22"/>
          <w:szCs w:val="22"/>
        </w:rPr>
        <w:t xml:space="preserve">eligible </w:t>
      </w:r>
      <w:r w:rsidRPr="008C21AB">
        <w:rPr>
          <w:rFonts w:ascii="Calibri" w:hAnsi="Calibri" w:cs="Calibri"/>
          <w:sz w:val="22"/>
          <w:szCs w:val="22"/>
        </w:rPr>
        <w:t>to teach CE courses</w:t>
      </w:r>
      <w:r w:rsidR="00AE7B68" w:rsidRPr="008C21AB">
        <w:rPr>
          <w:rFonts w:ascii="Calibri" w:hAnsi="Calibri" w:cs="Calibri"/>
          <w:sz w:val="22"/>
          <w:szCs w:val="22"/>
        </w:rPr>
        <w:t xml:space="preserve">.  </w:t>
      </w:r>
      <w:r w:rsidR="0094185E">
        <w:rPr>
          <w:rFonts w:ascii="Calibri" w:hAnsi="Calibri" w:cs="Calibri"/>
          <w:sz w:val="22"/>
          <w:szCs w:val="22"/>
        </w:rPr>
        <w:t>E</w:t>
      </w:r>
      <w:r w:rsidR="00AE7B68" w:rsidRPr="008C21AB">
        <w:rPr>
          <w:rFonts w:ascii="Calibri" w:hAnsi="Calibri" w:cs="Calibri"/>
          <w:sz w:val="22"/>
          <w:szCs w:val="22"/>
        </w:rPr>
        <w:t>ducator</w:t>
      </w:r>
      <w:r w:rsidR="0094185E">
        <w:rPr>
          <w:rFonts w:ascii="Calibri" w:hAnsi="Calibri" w:cs="Calibri"/>
          <w:sz w:val="22"/>
          <w:szCs w:val="22"/>
        </w:rPr>
        <w:t>s</w:t>
      </w:r>
      <w:r w:rsidR="00AE7B68" w:rsidRPr="008C21AB">
        <w:rPr>
          <w:rFonts w:ascii="Calibri" w:hAnsi="Calibri" w:cs="Calibri"/>
          <w:sz w:val="22"/>
          <w:szCs w:val="22"/>
        </w:rPr>
        <w:t>, called “LEA employee</w:t>
      </w:r>
      <w:r w:rsidR="0094185E">
        <w:rPr>
          <w:rFonts w:ascii="Calibri" w:hAnsi="Calibri" w:cs="Calibri"/>
          <w:sz w:val="22"/>
          <w:szCs w:val="22"/>
        </w:rPr>
        <w:t>(s)</w:t>
      </w:r>
      <w:r w:rsidR="00AE7B68" w:rsidRPr="008C21AB">
        <w:rPr>
          <w:rFonts w:ascii="Calibri" w:hAnsi="Calibri" w:cs="Calibri"/>
          <w:sz w:val="22"/>
          <w:szCs w:val="22"/>
        </w:rPr>
        <w:t>” in statute</w:t>
      </w:r>
      <w:r w:rsidR="007E724C" w:rsidRPr="008C21AB">
        <w:rPr>
          <w:rFonts w:ascii="Calibri" w:hAnsi="Calibri" w:cs="Calibri"/>
          <w:sz w:val="22"/>
          <w:szCs w:val="22"/>
        </w:rPr>
        <w:t>, is</w:t>
      </w:r>
      <w:r w:rsidR="001E38D9" w:rsidRPr="008C21AB">
        <w:rPr>
          <w:rFonts w:ascii="Calibri" w:hAnsi="Calibri" w:cs="Calibri"/>
          <w:sz w:val="22"/>
          <w:szCs w:val="22"/>
        </w:rPr>
        <w:t xml:space="preserve"> eligible</w:t>
      </w:r>
      <w:r w:rsidR="007E724C" w:rsidRPr="008C21AB">
        <w:rPr>
          <w:rFonts w:ascii="Calibri" w:hAnsi="Calibri" w:cs="Calibri"/>
          <w:sz w:val="22"/>
          <w:szCs w:val="22"/>
        </w:rPr>
        <w:t xml:space="preserve"> to teach CE if they</w:t>
      </w:r>
      <w:r w:rsidR="00AE7B68" w:rsidRPr="008C21AB">
        <w:rPr>
          <w:rFonts w:ascii="Calibri" w:hAnsi="Calibri" w:cs="Calibri"/>
          <w:sz w:val="22"/>
          <w:szCs w:val="22"/>
        </w:rPr>
        <w:t>:</w:t>
      </w:r>
    </w:p>
    <w:p w14:paraId="0FC2BA33" w14:textId="5935C36A" w:rsidR="00AE7B68" w:rsidRPr="008C21AB" w:rsidRDefault="007E724C" w:rsidP="00AE7B68">
      <w:pPr>
        <w:pStyle w:val="NormalWeb"/>
        <w:numPr>
          <w:ilvl w:val="0"/>
          <w:numId w:val="4"/>
        </w:numPr>
        <w:ind w:left="270" w:hanging="270"/>
        <w:rPr>
          <w:rFonts w:ascii="Calibri" w:hAnsi="Calibri" w:cs="Calibri"/>
          <w:sz w:val="22"/>
          <w:szCs w:val="22"/>
        </w:rPr>
      </w:pPr>
      <w:r w:rsidRPr="008C21AB">
        <w:rPr>
          <w:rFonts w:ascii="Calibri" w:hAnsi="Calibri" w:cs="Calibri"/>
          <w:sz w:val="22"/>
          <w:szCs w:val="22"/>
        </w:rPr>
        <w:t>are</w:t>
      </w:r>
      <w:r w:rsidR="00744BC9" w:rsidRPr="008C21AB">
        <w:rPr>
          <w:rFonts w:ascii="Calibri" w:hAnsi="Calibri" w:cs="Calibri"/>
          <w:sz w:val="22"/>
          <w:szCs w:val="22"/>
        </w:rPr>
        <w:t xml:space="preserve"> licensed under statutory Education Professional Licensure</w:t>
      </w:r>
      <w:r w:rsidR="00AE7B68" w:rsidRPr="008C21AB">
        <w:rPr>
          <w:rFonts w:ascii="Calibri" w:hAnsi="Calibri" w:cs="Calibri"/>
          <w:sz w:val="22"/>
          <w:szCs w:val="22"/>
        </w:rPr>
        <w:t xml:space="preserve">; and </w:t>
      </w:r>
    </w:p>
    <w:p w14:paraId="5BA89814" w14:textId="138866E0" w:rsidR="00AE7B68" w:rsidRPr="008C21AB" w:rsidRDefault="00AE7B68" w:rsidP="00AE7B68">
      <w:pPr>
        <w:pStyle w:val="NormalWeb"/>
        <w:numPr>
          <w:ilvl w:val="0"/>
          <w:numId w:val="4"/>
        </w:numPr>
        <w:ind w:left="270" w:hanging="270"/>
        <w:rPr>
          <w:rFonts w:ascii="Calibri" w:hAnsi="Calibri" w:cs="Calibri"/>
          <w:sz w:val="22"/>
          <w:szCs w:val="22"/>
        </w:rPr>
      </w:pPr>
      <w:r w:rsidRPr="008C21AB">
        <w:rPr>
          <w:rFonts w:ascii="Calibri" w:hAnsi="Calibri" w:cs="Calibri"/>
          <w:sz w:val="22"/>
          <w:szCs w:val="22"/>
        </w:rPr>
        <w:t xml:space="preserve">taught the CE course </w:t>
      </w:r>
      <w:r w:rsidR="0094185E">
        <w:rPr>
          <w:rFonts w:ascii="Calibri" w:hAnsi="Calibri" w:cs="Calibri"/>
          <w:sz w:val="22"/>
          <w:szCs w:val="22"/>
        </w:rPr>
        <w:t>they</w:t>
      </w:r>
      <w:r w:rsidRPr="008C21AB">
        <w:rPr>
          <w:rFonts w:ascii="Calibri" w:hAnsi="Calibri" w:cs="Calibri"/>
          <w:sz w:val="22"/>
          <w:szCs w:val="22"/>
        </w:rPr>
        <w:t xml:space="preserve"> wish to teach in future during the 2018-19 or 2019-20 school year </w:t>
      </w:r>
      <w:r w:rsidRPr="008C21AB">
        <w:rPr>
          <w:rFonts w:ascii="Calibri" w:hAnsi="Calibri" w:cs="Calibri"/>
          <w:b/>
          <w:bCs/>
          <w:sz w:val="22"/>
          <w:szCs w:val="22"/>
        </w:rPr>
        <w:t xml:space="preserve">OR </w:t>
      </w:r>
    </w:p>
    <w:p w14:paraId="6C4DD333" w14:textId="72DF5CBD" w:rsidR="00AE7B68" w:rsidRPr="008C21AB" w:rsidRDefault="00AE7B68" w:rsidP="00AE7B68">
      <w:pPr>
        <w:pStyle w:val="NormalWeb"/>
        <w:numPr>
          <w:ilvl w:val="0"/>
          <w:numId w:val="4"/>
        </w:numPr>
        <w:ind w:left="270" w:hanging="270"/>
        <w:rPr>
          <w:rFonts w:ascii="Calibri" w:hAnsi="Calibri" w:cs="Calibri"/>
          <w:sz w:val="22"/>
          <w:szCs w:val="22"/>
        </w:rPr>
      </w:pPr>
      <w:r w:rsidRPr="008C21AB">
        <w:rPr>
          <w:rFonts w:ascii="Calibri" w:hAnsi="Calibri" w:cs="Calibri"/>
          <w:sz w:val="22"/>
          <w:szCs w:val="22"/>
        </w:rPr>
        <w:t>meet the academic qualifications listed below.</w:t>
      </w:r>
    </w:p>
    <w:p w14:paraId="69277314" w14:textId="04959F9A" w:rsidR="00744BC9" w:rsidRPr="008C21AB" w:rsidRDefault="007E724C" w:rsidP="00E748EB">
      <w:pPr>
        <w:pStyle w:val="NormalWeb"/>
        <w:spacing w:after="0" w:afterAutospacing="0"/>
        <w:rPr>
          <w:rFonts w:ascii="Calibri" w:hAnsi="Calibri" w:cs="Calibri"/>
          <w:sz w:val="22"/>
          <w:szCs w:val="22"/>
        </w:rPr>
      </w:pPr>
      <w:r w:rsidRPr="008C21AB">
        <w:rPr>
          <w:rFonts w:ascii="Calibri" w:hAnsi="Calibri" w:cs="Calibri"/>
          <w:sz w:val="22"/>
          <w:szCs w:val="22"/>
        </w:rPr>
        <w:t>Academic qualifications to teach</w:t>
      </w:r>
      <w:r w:rsidR="00744BC9" w:rsidRPr="008C21AB">
        <w:rPr>
          <w:rFonts w:ascii="Calibri" w:hAnsi="Calibri" w:cs="Calibri"/>
          <w:sz w:val="22"/>
          <w:szCs w:val="22"/>
        </w:rPr>
        <w:t xml:space="preserve"> a </w:t>
      </w:r>
      <w:r w:rsidR="00AE7B68" w:rsidRPr="008C21AB">
        <w:rPr>
          <w:rFonts w:ascii="Calibri" w:hAnsi="Calibri" w:cs="Calibri"/>
          <w:sz w:val="22"/>
          <w:szCs w:val="22"/>
        </w:rPr>
        <w:t>CTE</w:t>
      </w:r>
      <w:r w:rsidR="00BE14B6">
        <w:rPr>
          <w:rFonts w:ascii="Calibri" w:hAnsi="Calibri" w:cs="Calibri"/>
          <w:sz w:val="22"/>
          <w:szCs w:val="22"/>
        </w:rPr>
        <w:t>*</w:t>
      </w:r>
      <w:r w:rsidR="00744BC9" w:rsidRPr="008C21AB">
        <w:rPr>
          <w:rFonts w:ascii="Calibri" w:hAnsi="Calibri" w:cs="Calibri"/>
          <w:sz w:val="22"/>
          <w:szCs w:val="22"/>
        </w:rPr>
        <w:t xml:space="preserve"> </w:t>
      </w:r>
      <w:r w:rsidR="00AE7B68" w:rsidRPr="008C21AB">
        <w:rPr>
          <w:rFonts w:ascii="Calibri" w:hAnsi="Calibri" w:cs="Calibri"/>
          <w:sz w:val="22"/>
          <w:szCs w:val="22"/>
        </w:rPr>
        <w:t>CE</w:t>
      </w:r>
      <w:r w:rsidR="00744BC9" w:rsidRPr="008C21AB">
        <w:rPr>
          <w:rFonts w:ascii="Calibri" w:hAnsi="Calibri" w:cs="Calibri"/>
          <w:sz w:val="22"/>
          <w:szCs w:val="22"/>
        </w:rPr>
        <w:t xml:space="preserve"> course:</w:t>
      </w:r>
    </w:p>
    <w:p w14:paraId="143D0394" w14:textId="6DC06CF4" w:rsidR="00744BC9" w:rsidRPr="008C21AB" w:rsidRDefault="00744BC9" w:rsidP="00E748EB">
      <w:pPr>
        <w:pStyle w:val="NormalWeb"/>
        <w:numPr>
          <w:ilvl w:val="0"/>
          <w:numId w:val="10"/>
        </w:numPr>
        <w:spacing w:before="0" w:beforeAutospacing="0"/>
        <w:rPr>
          <w:rFonts w:ascii="Calibri" w:hAnsi="Calibri" w:cs="Calibri"/>
          <w:sz w:val="22"/>
          <w:szCs w:val="22"/>
        </w:rPr>
      </w:pPr>
      <w:r w:rsidRPr="008C21AB">
        <w:rPr>
          <w:rFonts w:ascii="Calibri" w:hAnsi="Calibri" w:cs="Calibri"/>
          <w:sz w:val="22"/>
          <w:szCs w:val="22"/>
        </w:rPr>
        <w:t xml:space="preserve">a degree, certificate, or industry certification in the </w:t>
      </w:r>
      <w:r w:rsidR="00E748EB" w:rsidRPr="008C21AB">
        <w:rPr>
          <w:rFonts w:ascii="Calibri" w:hAnsi="Calibri" w:cs="Calibri"/>
          <w:sz w:val="22"/>
          <w:szCs w:val="22"/>
        </w:rPr>
        <w:t>CE</w:t>
      </w:r>
      <w:r w:rsidRPr="008C21AB">
        <w:rPr>
          <w:rFonts w:ascii="Calibri" w:hAnsi="Calibri" w:cs="Calibri"/>
          <w:sz w:val="22"/>
          <w:szCs w:val="22"/>
        </w:rPr>
        <w:t xml:space="preserve"> course’s academic field </w:t>
      </w:r>
      <w:r w:rsidR="00E748EB" w:rsidRPr="008C21AB">
        <w:rPr>
          <w:rFonts w:ascii="Calibri" w:hAnsi="Calibri" w:cs="Calibri"/>
          <w:b/>
          <w:bCs/>
          <w:sz w:val="22"/>
          <w:szCs w:val="22"/>
        </w:rPr>
        <w:t>OR</w:t>
      </w:r>
      <w:r w:rsidRPr="008C21AB">
        <w:rPr>
          <w:rFonts w:ascii="Calibri" w:hAnsi="Calibri" w:cs="Calibri"/>
          <w:b/>
          <w:bCs/>
          <w:sz w:val="22"/>
          <w:szCs w:val="22"/>
        </w:rPr>
        <w:t xml:space="preserve"> </w:t>
      </w:r>
    </w:p>
    <w:p w14:paraId="48252F41" w14:textId="28D81D5D" w:rsidR="00744BC9" w:rsidRDefault="00744BC9" w:rsidP="00AE7B68">
      <w:pPr>
        <w:pStyle w:val="NormalWeb"/>
        <w:numPr>
          <w:ilvl w:val="0"/>
          <w:numId w:val="10"/>
        </w:numPr>
        <w:rPr>
          <w:rFonts w:ascii="Calibri" w:hAnsi="Calibri" w:cs="Calibri"/>
          <w:sz w:val="22"/>
          <w:szCs w:val="22"/>
        </w:rPr>
      </w:pPr>
      <w:r w:rsidRPr="008C21AB">
        <w:rPr>
          <w:rFonts w:ascii="Calibri" w:hAnsi="Calibri" w:cs="Calibri"/>
          <w:sz w:val="22"/>
          <w:szCs w:val="22"/>
        </w:rPr>
        <w:t>qualifying experience, as determined by the institution of higher education.</w:t>
      </w:r>
    </w:p>
    <w:p w14:paraId="05EB3D33" w14:textId="112EA7F2" w:rsidR="00BE14B6" w:rsidRPr="008C21AB" w:rsidRDefault="00BE14B6" w:rsidP="00BE14B6">
      <w:pPr>
        <w:pStyle w:val="NormalWeb"/>
        <w:ind w:left="360"/>
        <w:rPr>
          <w:rFonts w:ascii="Calibri" w:hAnsi="Calibri" w:cs="Calibri"/>
          <w:sz w:val="22"/>
          <w:szCs w:val="22"/>
        </w:rPr>
      </w:pPr>
      <w:r>
        <w:rPr>
          <w:rFonts w:ascii="Calibri" w:hAnsi="Calibri" w:cs="Calibri"/>
          <w:sz w:val="22"/>
          <w:szCs w:val="22"/>
        </w:rPr>
        <w:t xml:space="preserve">*There are certain courses considered CTE by public education that are not considered CTE by colleges and universities.  A photography course may be Fine Art courses in college by a vocational course in the high school.  If unsure, please ask the USHE institution about </w:t>
      </w:r>
    </w:p>
    <w:p w14:paraId="5592B10C" w14:textId="7E96972A" w:rsidR="00744BC9" w:rsidRPr="008C21AB" w:rsidRDefault="007E724C" w:rsidP="00E748EB">
      <w:pPr>
        <w:pStyle w:val="NormalWeb"/>
        <w:spacing w:after="0" w:afterAutospacing="0"/>
        <w:rPr>
          <w:rFonts w:ascii="Calibri" w:hAnsi="Calibri" w:cs="Calibri"/>
          <w:sz w:val="22"/>
          <w:szCs w:val="22"/>
        </w:rPr>
      </w:pPr>
      <w:r w:rsidRPr="008C21AB">
        <w:rPr>
          <w:rFonts w:ascii="Calibri" w:hAnsi="Calibri" w:cs="Calibri"/>
          <w:sz w:val="22"/>
          <w:szCs w:val="22"/>
        </w:rPr>
        <w:t>Academic qualifications to teach</w:t>
      </w:r>
      <w:r w:rsidR="00744BC9" w:rsidRPr="008C21AB">
        <w:rPr>
          <w:rFonts w:ascii="Calibri" w:hAnsi="Calibri" w:cs="Calibri"/>
          <w:sz w:val="22"/>
          <w:szCs w:val="22"/>
        </w:rPr>
        <w:t xml:space="preserve"> a </w:t>
      </w:r>
      <w:r w:rsidR="00AE7B68" w:rsidRPr="008C21AB">
        <w:rPr>
          <w:rFonts w:ascii="Calibri" w:hAnsi="Calibri" w:cs="Calibri"/>
          <w:sz w:val="22"/>
          <w:szCs w:val="22"/>
        </w:rPr>
        <w:t>CE</w:t>
      </w:r>
      <w:r w:rsidR="00744BC9" w:rsidRPr="008C21AB">
        <w:rPr>
          <w:rFonts w:ascii="Calibri" w:hAnsi="Calibri" w:cs="Calibri"/>
          <w:sz w:val="22"/>
          <w:szCs w:val="22"/>
        </w:rPr>
        <w:t xml:space="preserve"> course other than a </w:t>
      </w:r>
      <w:r w:rsidR="00AE7B68" w:rsidRPr="008C21AB">
        <w:rPr>
          <w:rFonts w:ascii="Calibri" w:hAnsi="Calibri" w:cs="Calibri"/>
          <w:sz w:val="22"/>
          <w:szCs w:val="22"/>
        </w:rPr>
        <w:t>CTE</w:t>
      </w:r>
      <w:r w:rsidR="00744BC9" w:rsidRPr="008C21AB">
        <w:rPr>
          <w:rFonts w:ascii="Calibri" w:hAnsi="Calibri" w:cs="Calibri"/>
          <w:sz w:val="22"/>
          <w:szCs w:val="22"/>
        </w:rPr>
        <w:t xml:space="preserve"> course:</w:t>
      </w:r>
    </w:p>
    <w:p w14:paraId="69972218" w14:textId="77777777" w:rsidR="00744BC9" w:rsidRPr="008C21AB" w:rsidRDefault="00744BC9" w:rsidP="00E748EB">
      <w:pPr>
        <w:pStyle w:val="NormalWeb"/>
        <w:numPr>
          <w:ilvl w:val="0"/>
          <w:numId w:val="8"/>
        </w:numPr>
        <w:spacing w:before="0" w:beforeAutospacing="0"/>
        <w:rPr>
          <w:rFonts w:ascii="Calibri" w:hAnsi="Calibri" w:cs="Calibri"/>
          <w:sz w:val="22"/>
          <w:szCs w:val="22"/>
        </w:rPr>
      </w:pPr>
      <w:r w:rsidRPr="008C21AB">
        <w:rPr>
          <w:rFonts w:ascii="Calibri" w:hAnsi="Calibri" w:cs="Calibri"/>
          <w:sz w:val="22"/>
          <w:szCs w:val="22"/>
        </w:rPr>
        <w:t>a master’s degree or higher in the concurrent enrollment course’s academic field;</w:t>
      </w:r>
    </w:p>
    <w:p w14:paraId="688280F3" w14:textId="34FDA870" w:rsidR="00744BC9" w:rsidRPr="008C21AB" w:rsidRDefault="00744BC9" w:rsidP="00744BC9">
      <w:pPr>
        <w:pStyle w:val="NormalWeb"/>
        <w:numPr>
          <w:ilvl w:val="0"/>
          <w:numId w:val="8"/>
        </w:numPr>
        <w:rPr>
          <w:rFonts w:ascii="Calibri" w:hAnsi="Calibri" w:cs="Calibri"/>
          <w:sz w:val="22"/>
          <w:szCs w:val="22"/>
        </w:rPr>
      </w:pPr>
      <w:r w:rsidRPr="008C21AB">
        <w:rPr>
          <w:rFonts w:ascii="Calibri" w:hAnsi="Calibri" w:cs="Calibri"/>
          <w:sz w:val="22"/>
          <w:szCs w:val="22"/>
        </w:rPr>
        <w:t xml:space="preserve">a master’s degree or higher in any academic field and at least 18 completed credit hours of graduate course work in an academic field that is relevant to the </w:t>
      </w:r>
      <w:r w:rsidR="00E748EB" w:rsidRPr="008C21AB">
        <w:rPr>
          <w:rFonts w:ascii="Calibri" w:hAnsi="Calibri" w:cs="Calibri"/>
          <w:sz w:val="22"/>
          <w:szCs w:val="22"/>
        </w:rPr>
        <w:t>CE</w:t>
      </w:r>
      <w:r w:rsidRPr="008C21AB">
        <w:rPr>
          <w:rFonts w:ascii="Calibri" w:hAnsi="Calibri" w:cs="Calibri"/>
          <w:sz w:val="22"/>
          <w:szCs w:val="22"/>
        </w:rPr>
        <w:t xml:space="preserve"> course </w:t>
      </w:r>
      <w:r w:rsidR="00AE7B68" w:rsidRPr="008C21AB">
        <w:rPr>
          <w:rFonts w:ascii="Calibri" w:hAnsi="Calibri" w:cs="Calibri"/>
          <w:b/>
          <w:bCs/>
          <w:sz w:val="22"/>
          <w:szCs w:val="22"/>
        </w:rPr>
        <w:t>OR</w:t>
      </w:r>
    </w:p>
    <w:p w14:paraId="270CC1C9" w14:textId="16D445B2" w:rsidR="00744BC9" w:rsidRPr="008C21AB" w:rsidRDefault="00744BC9" w:rsidP="00744BC9">
      <w:pPr>
        <w:pStyle w:val="NormalWeb"/>
        <w:numPr>
          <w:ilvl w:val="0"/>
          <w:numId w:val="8"/>
        </w:numPr>
        <w:rPr>
          <w:rFonts w:ascii="Calibri" w:hAnsi="Calibri" w:cs="Calibri"/>
          <w:sz w:val="22"/>
          <w:szCs w:val="22"/>
        </w:rPr>
      </w:pPr>
      <w:r w:rsidRPr="008C21AB">
        <w:rPr>
          <w:rFonts w:ascii="Calibri" w:hAnsi="Calibri" w:cs="Calibri"/>
          <w:sz w:val="22"/>
          <w:szCs w:val="22"/>
        </w:rPr>
        <w:t>qualifying experience, as determined by the institution of higher education.</w:t>
      </w:r>
    </w:p>
    <w:p w14:paraId="5A0ACC1B" w14:textId="3E2E2FDC" w:rsidR="00F641C9" w:rsidRPr="008C21AB" w:rsidRDefault="00AE7B68" w:rsidP="00E748EB">
      <w:pPr>
        <w:pStyle w:val="NormalWeb"/>
        <w:rPr>
          <w:rFonts w:ascii="Calibri" w:hAnsi="Calibri" w:cs="Calibri"/>
          <w:sz w:val="22"/>
          <w:szCs w:val="22"/>
        </w:rPr>
      </w:pPr>
      <w:r w:rsidRPr="008C21AB">
        <w:rPr>
          <w:rStyle w:val="Strong"/>
          <w:rFonts w:ascii="Calibri" w:hAnsi="Calibri" w:cs="Calibri"/>
          <w:b w:val="0"/>
          <w:bCs w:val="0"/>
          <w:sz w:val="22"/>
          <w:szCs w:val="22"/>
        </w:rPr>
        <w:t>NOTE: For CE Math courses, statute states</w:t>
      </w:r>
      <w:r w:rsidR="00744BC9" w:rsidRPr="008C21AB">
        <w:rPr>
          <w:rFonts w:ascii="Calibri" w:hAnsi="Calibri" w:cs="Calibri"/>
          <w:sz w:val="22"/>
          <w:szCs w:val="22"/>
        </w:rPr>
        <w:t xml:space="preserve"> an upper-level</w:t>
      </w:r>
      <w:r w:rsidRPr="008C21AB">
        <w:rPr>
          <w:rFonts w:ascii="Calibri" w:hAnsi="Calibri" w:cs="Calibri"/>
          <w:sz w:val="22"/>
          <w:szCs w:val="22"/>
        </w:rPr>
        <w:t xml:space="preserve"> (Level 4)</w:t>
      </w:r>
      <w:r w:rsidR="00744BC9" w:rsidRPr="008C21AB">
        <w:rPr>
          <w:rFonts w:ascii="Calibri" w:hAnsi="Calibri" w:cs="Calibri"/>
          <w:sz w:val="22"/>
          <w:szCs w:val="22"/>
        </w:rPr>
        <w:t xml:space="preserve"> mathematics </w:t>
      </w:r>
      <w:r w:rsidRPr="008C21AB">
        <w:rPr>
          <w:rFonts w:ascii="Calibri" w:hAnsi="Calibri" w:cs="Calibri"/>
          <w:sz w:val="22"/>
          <w:szCs w:val="22"/>
        </w:rPr>
        <w:t>endorsement issued by the Utah State Board of Education qualifies an educator.</w:t>
      </w:r>
      <w:r w:rsidR="00744BC9" w:rsidRPr="008C21AB">
        <w:rPr>
          <w:rFonts w:ascii="Calibri" w:hAnsi="Calibri" w:cs="Calibri"/>
          <w:sz w:val="22"/>
          <w:szCs w:val="22"/>
        </w:rPr>
        <w:t xml:space="preserve"> </w:t>
      </w:r>
    </w:p>
    <w:p w14:paraId="53A1B4DA" w14:textId="723264D1" w:rsidR="00F641C9" w:rsidRPr="008C21AB" w:rsidRDefault="00165034">
      <w:pPr>
        <w:rPr>
          <w:rFonts w:ascii="Calibri" w:hAnsi="Calibri" w:cs="Calibri"/>
          <w:b/>
          <w:bCs/>
          <w:sz w:val="22"/>
          <w:szCs w:val="22"/>
        </w:rPr>
      </w:pPr>
      <w:r w:rsidRPr="008C21AB">
        <w:rPr>
          <w:rFonts w:ascii="Calibri" w:hAnsi="Calibri" w:cs="Calibri"/>
          <w:b/>
          <w:bCs/>
          <w:sz w:val="22"/>
          <w:szCs w:val="22"/>
        </w:rPr>
        <w:t>Is an educator eligible to teach concurren</w:t>
      </w:r>
      <w:r w:rsidR="007E724C" w:rsidRPr="008C21AB">
        <w:rPr>
          <w:rFonts w:ascii="Calibri" w:hAnsi="Calibri" w:cs="Calibri"/>
          <w:b/>
          <w:bCs/>
          <w:sz w:val="22"/>
          <w:szCs w:val="22"/>
        </w:rPr>
        <w:t>t</w:t>
      </w:r>
      <w:r w:rsidRPr="008C21AB">
        <w:rPr>
          <w:rFonts w:ascii="Calibri" w:hAnsi="Calibri" w:cs="Calibri"/>
          <w:b/>
          <w:bCs/>
          <w:sz w:val="22"/>
          <w:szCs w:val="22"/>
        </w:rPr>
        <w:t xml:space="preserve"> enrollment IF …?</w:t>
      </w:r>
    </w:p>
    <w:tbl>
      <w:tblPr>
        <w:tblStyle w:val="TableGrid"/>
        <w:tblW w:w="0" w:type="auto"/>
        <w:tblLook w:val="04A0" w:firstRow="1" w:lastRow="0" w:firstColumn="1" w:lastColumn="0" w:noHBand="0" w:noVBand="1"/>
      </w:tblPr>
      <w:tblGrid>
        <w:gridCol w:w="4675"/>
        <w:gridCol w:w="4675"/>
      </w:tblGrid>
      <w:tr w:rsidR="00165034" w:rsidRPr="008C21AB" w14:paraId="72F254AA" w14:textId="77777777" w:rsidTr="004B25FD">
        <w:tc>
          <w:tcPr>
            <w:tcW w:w="4675" w:type="dxa"/>
          </w:tcPr>
          <w:p w14:paraId="597D9C09" w14:textId="132B0E3C" w:rsidR="00165034" w:rsidRPr="008C21AB" w:rsidRDefault="00165034">
            <w:pPr>
              <w:rPr>
                <w:rFonts w:ascii="Calibri" w:hAnsi="Calibri" w:cs="Calibri"/>
                <w:sz w:val="22"/>
                <w:szCs w:val="22"/>
              </w:rPr>
            </w:pPr>
            <w:r w:rsidRPr="008C21AB">
              <w:rPr>
                <w:rFonts w:ascii="Calibri" w:hAnsi="Calibri" w:cs="Calibri"/>
                <w:sz w:val="22"/>
                <w:szCs w:val="22"/>
              </w:rPr>
              <w:t>If the educator</w:t>
            </w:r>
          </w:p>
        </w:tc>
        <w:tc>
          <w:tcPr>
            <w:tcW w:w="4675" w:type="dxa"/>
          </w:tcPr>
          <w:p w14:paraId="42D7FC2E" w14:textId="15710781" w:rsidR="00165034" w:rsidRPr="008C21AB" w:rsidRDefault="00165034">
            <w:pPr>
              <w:rPr>
                <w:rFonts w:ascii="Calibri" w:hAnsi="Calibri" w:cs="Calibri"/>
                <w:sz w:val="22"/>
                <w:szCs w:val="22"/>
              </w:rPr>
            </w:pPr>
            <w:r w:rsidRPr="008C21AB">
              <w:rPr>
                <w:rFonts w:ascii="Calibri" w:hAnsi="Calibri" w:cs="Calibri"/>
                <w:sz w:val="22"/>
                <w:szCs w:val="22"/>
              </w:rPr>
              <w:t>Then</w:t>
            </w:r>
          </w:p>
        </w:tc>
      </w:tr>
      <w:tr w:rsidR="00165034" w:rsidRPr="008C21AB" w14:paraId="1A0A65B0" w14:textId="77777777" w:rsidTr="004B25FD">
        <w:tc>
          <w:tcPr>
            <w:tcW w:w="4675" w:type="dxa"/>
          </w:tcPr>
          <w:p w14:paraId="64AC7F31" w14:textId="564C25C1" w:rsidR="00165034" w:rsidRPr="008C21AB" w:rsidRDefault="00165034" w:rsidP="00CE0DE1">
            <w:pPr>
              <w:rPr>
                <w:rFonts w:ascii="Calibri" w:hAnsi="Calibri" w:cs="Calibri"/>
                <w:b/>
                <w:bCs/>
                <w:sz w:val="22"/>
                <w:szCs w:val="22"/>
              </w:rPr>
            </w:pPr>
            <w:r w:rsidRPr="008C21AB">
              <w:rPr>
                <w:rFonts w:ascii="Calibri" w:hAnsi="Calibri" w:cs="Calibri"/>
                <w:sz w:val="22"/>
                <w:szCs w:val="22"/>
              </w:rPr>
              <w:t>taught the</w:t>
            </w:r>
            <w:r w:rsidR="00CE0DE1" w:rsidRPr="008C21AB">
              <w:rPr>
                <w:rFonts w:ascii="Calibri" w:hAnsi="Calibri" w:cs="Calibri"/>
                <w:sz w:val="22"/>
                <w:szCs w:val="22"/>
              </w:rPr>
              <w:t xml:space="preserve"> same </w:t>
            </w:r>
            <w:r w:rsidRPr="008C21AB">
              <w:rPr>
                <w:rFonts w:ascii="Calibri" w:hAnsi="Calibri" w:cs="Calibri"/>
                <w:sz w:val="22"/>
                <w:szCs w:val="22"/>
              </w:rPr>
              <w:t xml:space="preserve">CE course during the 2018-19 or 2019-20 year </w:t>
            </w:r>
            <w:r w:rsidR="0094185E">
              <w:rPr>
                <w:rFonts w:ascii="Calibri" w:hAnsi="Calibri" w:cs="Calibri"/>
                <w:sz w:val="22"/>
                <w:szCs w:val="22"/>
              </w:rPr>
              <w:t xml:space="preserve">and </w:t>
            </w:r>
            <w:r w:rsidRPr="008C21AB">
              <w:rPr>
                <w:rFonts w:ascii="Calibri" w:hAnsi="Calibri" w:cs="Calibri"/>
                <w:sz w:val="22"/>
                <w:szCs w:val="22"/>
              </w:rPr>
              <w:t>wishes to teach again</w:t>
            </w:r>
          </w:p>
        </w:tc>
        <w:tc>
          <w:tcPr>
            <w:tcW w:w="4675" w:type="dxa"/>
          </w:tcPr>
          <w:p w14:paraId="4898693F" w14:textId="230AD49A" w:rsidR="00165034" w:rsidRPr="008C21AB" w:rsidRDefault="00165034" w:rsidP="00CE0DE1">
            <w:pPr>
              <w:rPr>
                <w:rFonts w:ascii="Calibri" w:hAnsi="Calibri" w:cs="Calibri"/>
                <w:b/>
                <w:bCs/>
                <w:sz w:val="22"/>
                <w:szCs w:val="22"/>
              </w:rPr>
            </w:pPr>
            <w:r w:rsidRPr="008C21AB">
              <w:rPr>
                <w:rFonts w:ascii="Calibri" w:hAnsi="Calibri" w:cs="Calibri"/>
                <w:sz w:val="22"/>
                <w:szCs w:val="22"/>
              </w:rPr>
              <w:t xml:space="preserve">the educator is eligible to teach </w:t>
            </w:r>
            <w:r w:rsidR="001E38D9" w:rsidRPr="008C21AB">
              <w:rPr>
                <w:rFonts w:ascii="Calibri" w:hAnsi="Calibri" w:cs="Calibri"/>
                <w:sz w:val="22"/>
                <w:szCs w:val="22"/>
              </w:rPr>
              <w:t>the same class</w:t>
            </w:r>
            <w:r w:rsidRPr="008C21AB">
              <w:rPr>
                <w:rFonts w:ascii="Calibri" w:hAnsi="Calibri" w:cs="Calibri"/>
                <w:sz w:val="22"/>
                <w:szCs w:val="22"/>
              </w:rPr>
              <w:t xml:space="preserve"> again</w:t>
            </w:r>
            <w:r w:rsidR="007E724C" w:rsidRPr="008C21AB">
              <w:rPr>
                <w:rFonts w:ascii="Calibri" w:hAnsi="Calibri" w:cs="Calibri"/>
                <w:sz w:val="22"/>
                <w:szCs w:val="22"/>
              </w:rPr>
              <w:t xml:space="preserve"> so long as the LEA</w:t>
            </w:r>
            <w:r w:rsidRPr="008C21AB">
              <w:rPr>
                <w:rFonts w:ascii="Calibri" w:hAnsi="Calibri" w:cs="Calibri"/>
                <w:sz w:val="22"/>
                <w:szCs w:val="22"/>
              </w:rPr>
              <w:t xml:space="preserve"> and </w:t>
            </w:r>
            <w:r w:rsidR="00CE0DE1" w:rsidRPr="008C21AB">
              <w:rPr>
                <w:rFonts w:ascii="Calibri" w:hAnsi="Calibri" w:cs="Calibri"/>
                <w:sz w:val="22"/>
                <w:szCs w:val="22"/>
              </w:rPr>
              <w:t xml:space="preserve">IHE </w:t>
            </w:r>
            <w:r w:rsidRPr="008C21AB">
              <w:rPr>
                <w:rFonts w:ascii="Calibri" w:hAnsi="Calibri" w:cs="Calibri"/>
                <w:sz w:val="22"/>
                <w:szCs w:val="22"/>
              </w:rPr>
              <w:t>have no concerns about</w:t>
            </w:r>
            <w:r w:rsidR="00CE0DE1" w:rsidRPr="008C21AB">
              <w:rPr>
                <w:rFonts w:ascii="Calibri" w:hAnsi="Calibri" w:cs="Calibri"/>
                <w:sz w:val="22"/>
                <w:szCs w:val="22"/>
              </w:rPr>
              <w:t xml:space="preserve"> quality of instruction</w:t>
            </w:r>
            <w:r w:rsidR="007E724C" w:rsidRPr="006D4821">
              <w:rPr>
                <w:rFonts w:ascii="Calibri" w:hAnsi="Calibri" w:cs="Calibri"/>
                <w:sz w:val="22"/>
                <w:szCs w:val="22"/>
              </w:rPr>
              <w:t>.</w:t>
            </w:r>
          </w:p>
        </w:tc>
      </w:tr>
      <w:tr w:rsidR="00165034" w:rsidRPr="008C21AB" w14:paraId="1406BF11" w14:textId="77777777" w:rsidTr="004B25FD">
        <w:tc>
          <w:tcPr>
            <w:tcW w:w="4675" w:type="dxa"/>
          </w:tcPr>
          <w:p w14:paraId="1BEBD593" w14:textId="42514471" w:rsidR="00165034" w:rsidRPr="008C21AB" w:rsidRDefault="00165034" w:rsidP="007E724C">
            <w:pPr>
              <w:rPr>
                <w:rFonts w:ascii="Calibri" w:hAnsi="Calibri" w:cs="Calibri"/>
                <w:b/>
                <w:bCs/>
                <w:sz w:val="22"/>
                <w:szCs w:val="22"/>
              </w:rPr>
            </w:pPr>
            <w:r w:rsidRPr="008C21AB">
              <w:rPr>
                <w:rFonts w:ascii="Calibri" w:hAnsi="Calibri" w:cs="Calibri"/>
                <w:sz w:val="22"/>
                <w:szCs w:val="22"/>
              </w:rPr>
              <w:t xml:space="preserve">taught </w:t>
            </w:r>
            <w:r w:rsidR="007E724C" w:rsidRPr="008C21AB">
              <w:rPr>
                <w:rFonts w:ascii="Calibri" w:hAnsi="Calibri" w:cs="Calibri"/>
                <w:sz w:val="22"/>
                <w:szCs w:val="22"/>
              </w:rPr>
              <w:t xml:space="preserve">a </w:t>
            </w:r>
            <w:r w:rsidRPr="008C21AB">
              <w:rPr>
                <w:rFonts w:ascii="Calibri" w:hAnsi="Calibri" w:cs="Calibri"/>
                <w:sz w:val="22"/>
                <w:szCs w:val="22"/>
              </w:rPr>
              <w:t xml:space="preserve">specific CE course during the 2018-19 or 2019-20 year </w:t>
            </w:r>
            <w:r w:rsidR="007E724C" w:rsidRPr="008C21AB">
              <w:rPr>
                <w:rFonts w:ascii="Calibri" w:hAnsi="Calibri" w:cs="Calibri"/>
                <w:sz w:val="22"/>
                <w:szCs w:val="22"/>
              </w:rPr>
              <w:t xml:space="preserve">and </w:t>
            </w:r>
            <w:r w:rsidRPr="008C21AB">
              <w:rPr>
                <w:rFonts w:ascii="Calibri" w:hAnsi="Calibri" w:cs="Calibri"/>
                <w:sz w:val="22"/>
                <w:szCs w:val="22"/>
              </w:rPr>
              <w:t>wishes to teach a different class next year</w:t>
            </w:r>
          </w:p>
        </w:tc>
        <w:tc>
          <w:tcPr>
            <w:tcW w:w="4675" w:type="dxa"/>
          </w:tcPr>
          <w:p w14:paraId="416D2A90" w14:textId="7FB6A998" w:rsidR="00165034" w:rsidRPr="008C21AB" w:rsidRDefault="00165034">
            <w:pPr>
              <w:rPr>
                <w:rFonts w:ascii="Calibri" w:hAnsi="Calibri" w:cs="Calibri"/>
                <w:b/>
                <w:bCs/>
                <w:sz w:val="22"/>
                <w:szCs w:val="22"/>
              </w:rPr>
            </w:pPr>
            <w:r w:rsidRPr="008C21AB">
              <w:rPr>
                <w:rFonts w:ascii="Calibri" w:hAnsi="Calibri" w:cs="Calibri"/>
                <w:sz w:val="22"/>
                <w:szCs w:val="22"/>
              </w:rPr>
              <w:t>the educator eligibility must be determined by the local institution</w:t>
            </w:r>
            <w:r w:rsidR="00CE0DE1" w:rsidRPr="008C21AB">
              <w:rPr>
                <w:rFonts w:ascii="Calibri" w:hAnsi="Calibri" w:cs="Calibri"/>
                <w:sz w:val="22"/>
                <w:szCs w:val="22"/>
              </w:rPr>
              <w:t xml:space="preserve"> in alignment with the qualifications outlined above</w:t>
            </w:r>
            <w:r w:rsidR="007E724C" w:rsidRPr="008C21AB">
              <w:rPr>
                <w:rFonts w:ascii="Calibri" w:hAnsi="Calibri" w:cs="Calibri"/>
                <w:sz w:val="22"/>
                <w:szCs w:val="22"/>
              </w:rPr>
              <w:t>.</w:t>
            </w:r>
          </w:p>
        </w:tc>
      </w:tr>
      <w:tr w:rsidR="00165034" w:rsidRPr="008C21AB" w14:paraId="08647CB7" w14:textId="77777777" w:rsidTr="004B25FD">
        <w:tc>
          <w:tcPr>
            <w:tcW w:w="4675" w:type="dxa"/>
          </w:tcPr>
          <w:p w14:paraId="61DCA01A" w14:textId="2AB94AC6" w:rsidR="00165034" w:rsidRPr="008C21AB" w:rsidRDefault="00165034" w:rsidP="00CE0DE1">
            <w:pPr>
              <w:rPr>
                <w:rFonts w:ascii="Calibri" w:hAnsi="Calibri" w:cs="Calibri"/>
                <w:b/>
                <w:bCs/>
                <w:sz w:val="22"/>
                <w:szCs w:val="22"/>
              </w:rPr>
            </w:pPr>
            <w:r w:rsidRPr="008C21AB">
              <w:rPr>
                <w:rFonts w:ascii="Calibri" w:hAnsi="Calibri" w:cs="Calibri"/>
                <w:sz w:val="22"/>
                <w:szCs w:val="22"/>
              </w:rPr>
              <w:t xml:space="preserve">taught the </w:t>
            </w:r>
            <w:r w:rsidR="00CE0DE1" w:rsidRPr="008C21AB">
              <w:rPr>
                <w:rFonts w:ascii="Calibri" w:hAnsi="Calibri" w:cs="Calibri"/>
                <w:sz w:val="22"/>
                <w:szCs w:val="22"/>
              </w:rPr>
              <w:t xml:space="preserve">same </w:t>
            </w:r>
            <w:r w:rsidRPr="008C21AB">
              <w:rPr>
                <w:rFonts w:ascii="Calibri" w:hAnsi="Calibri" w:cs="Calibri"/>
                <w:sz w:val="22"/>
                <w:szCs w:val="22"/>
              </w:rPr>
              <w:t xml:space="preserve">CE course during the 2018-19 or 2019-20 year </w:t>
            </w:r>
            <w:r w:rsidR="0094185E">
              <w:rPr>
                <w:rFonts w:ascii="Calibri" w:hAnsi="Calibri" w:cs="Calibri"/>
                <w:sz w:val="22"/>
                <w:szCs w:val="22"/>
              </w:rPr>
              <w:t>and</w:t>
            </w:r>
            <w:r w:rsidRPr="008C21AB">
              <w:rPr>
                <w:rFonts w:ascii="Calibri" w:hAnsi="Calibri" w:cs="Calibri"/>
                <w:sz w:val="22"/>
                <w:szCs w:val="22"/>
              </w:rPr>
              <w:t xml:space="preserve"> wishes to teach again, but for a different institution</w:t>
            </w:r>
          </w:p>
        </w:tc>
        <w:tc>
          <w:tcPr>
            <w:tcW w:w="4675" w:type="dxa"/>
          </w:tcPr>
          <w:p w14:paraId="67F6F6BC" w14:textId="12B06925" w:rsidR="00165034" w:rsidRPr="008C21AB" w:rsidRDefault="007E724C">
            <w:pPr>
              <w:rPr>
                <w:rFonts w:ascii="Calibri" w:hAnsi="Calibri" w:cs="Calibri"/>
                <w:b/>
                <w:bCs/>
                <w:sz w:val="22"/>
                <w:szCs w:val="22"/>
              </w:rPr>
            </w:pPr>
            <w:r w:rsidRPr="008C21AB">
              <w:rPr>
                <w:rFonts w:ascii="Calibri" w:hAnsi="Calibri" w:cs="Calibri"/>
                <w:sz w:val="22"/>
                <w:szCs w:val="22"/>
              </w:rPr>
              <w:t>t</w:t>
            </w:r>
            <w:r w:rsidR="00165034" w:rsidRPr="008C21AB">
              <w:rPr>
                <w:rFonts w:ascii="Calibri" w:hAnsi="Calibri" w:cs="Calibri"/>
                <w:sz w:val="22"/>
                <w:szCs w:val="22"/>
              </w:rPr>
              <w:t xml:space="preserve">he educator is eligible to teach that specific </w:t>
            </w:r>
            <w:r w:rsidR="00CE0DE1" w:rsidRPr="008C21AB">
              <w:rPr>
                <w:rFonts w:ascii="Calibri" w:hAnsi="Calibri" w:cs="Calibri"/>
                <w:sz w:val="22"/>
                <w:szCs w:val="22"/>
              </w:rPr>
              <w:t xml:space="preserve">CE </w:t>
            </w:r>
            <w:r w:rsidR="00165034" w:rsidRPr="008C21AB">
              <w:rPr>
                <w:rFonts w:ascii="Calibri" w:hAnsi="Calibri" w:cs="Calibri"/>
                <w:sz w:val="22"/>
                <w:szCs w:val="22"/>
              </w:rPr>
              <w:t>course at a different institution</w:t>
            </w:r>
            <w:r w:rsidR="004B25FD" w:rsidRPr="008C21AB">
              <w:rPr>
                <w:rFonts w:ascii="Calibri" w:hAnsi="Calibri" w:cs="Calibri"/>
                <w:sz w:val="22"/>
                <w:szCs w:val="22"/>
              </w:rPr>
              <w:t>.</w:t>
            </w:r>
          </w:p>
        </w:tc>
      </w:tr>
      <w:tr w:rsidR="00165034" w:rsidRPr="008C21AB" w14:paraId="54FE4ACA" w14:textId="77777777" w:rsidTr="004B25FD">
        <w:tc>
          <w:tcPr>
            <w:tcW w:w="4675" w:type="dxa"/>
          </w:tcPr>
          <w:p w14:paraId="121139F9" w14:textId="71D78632" w:rsidR="00165034" w:rsidRPr="008C21AB" w:rsidRDefault="007E724C">
            <w:pPr>
              <w:rPr>
                <w:rFonts w:ascii="Calibri" w:hAnsi="Calibri" w:cs="Calibri"/>
                <w:bCs/>
                <w:sz w:val="22"/>
                <w:szCs w:val="22"/>
              </w:rPr>
            </w:pPr>
            <w:r w:rsidRPr="008C21AB">
              <w:rPr>
                <w:rFonts w:ascii="Calibri" w:hAnsi="Calibri" w:cs="Calibri"/>
                <w:bCs/>
                <w:sz w:val="22"/>
                <w:szCs w:val="22"/>
              </w:rPr>
              <w:t xml:space="preserve">meets the qualifications outlined in statute to teach a specific course, but those </w:t>
            </w:r>
            <w:r w:rsidR="00CE0DE1" w:rsidRPr="008C21AB">
              <w:rPr>
                <w:rFonts w:ascii="Calibri" w:hAnsi="Calibri" w:cs="Calibri"/>
                <w:bCs/>
                <w:sz w:val="22"/>
                <w:szCs w:val="22"/>
              </w:rPr>
              <w:t xml:space="preserve">qualifications </w:t>
            </w:r>
            <w:r w:rsidRPr="008C21AB">
              <w:rPr>
                <w:rFonts w:ascii="Calibri" w:hAnsi="Calibri" w:cs="Calibri"/>
                <w:bCs/>
                <w:sz w:val="22"/>
                <w:szCs w:val="22"/>
              </w:rPr>
              <w:t>are lower than</w:t>
            </w:r>
            <w:r w:rsidR="00CE0DE1" w:rsidRPr="008C21AB">
              <w:rPr>
                <w:rFonts w:ascii="Calibri" w:hAnsi="Calibri" w:cs="Calibri"/>
                <w:bCs/>
                <w:sz w:val="22"/>
                <w:szCs w:val="22"/>
              </w:rPr>
              <w:t xml:space="preserve"> </w:t>
            </w:r>
            <w:r w:rsidRPr="008C21AB">
              <w:rPr>
                <w:rFonts w:ascii="Calibri" w:hAnsi="Calibri" w:cs="Calibri"/>
                <w:bCs/>
                <w:sz w:val="22"/>
                <w:szCs w:val="22"/>
              </w:rPr>
              <w:t>required of faculty within the department at the IHE</w:t>
            </w:r>
          </w:p>
        </w:tc>
        <w:tc>
          <w:tcPr>
            <w:tcW w:w="4675" w:type="dxa"/>
          </w:tcPr>
          <w:p w14:paraId="39E9AF7E" w14:textId="14BE590E" w:rsidR="00165034" w:rsidRPr="008C21AB" w:rsidRDefault="007E724C">
            <w:pPr>
              <w:rPr>
                <w:rFonts w:ascii="Calibri" w:hAnsi="Calibri" w:cs="Calibri"/>
                <w:bCs/>
                <w:sz w:val="22"/>
                <w:szCs w:val="22"/>
              </w:rPr>
            </w:pPr>
            <w:r w:rsidRPr="008C21AB">
              <w:rPr>
                <w:rFonts w:ascii="Calibri" w:hAnsi="Calibri" w:cs="Calibri"/>
                <w:bCs/>
                <w:sz w:val="22"/>
                <w:szCs w:val="22"/>
              </w:rPr>
              <w:t>the educator is eligible to teach per state law</w:t>
            </w:r>
            <w:r w:rsidR="004B25FD" w:rsidRPr="008C21AB">
              <w:rPr>
                <w:rFonts w:ascii="Calibri" w:hAnsi="Calibri" w:cs="Calibri"/>
                <w:bCs/>
                <w:sz w:val="22"/>
                <w:szCs w:val="22"/>
              </w:rPr>
              <w:t>.</w:t>
            </w:r>
          </w:p>
        </w:tc>
      </w:tr>
      <w:tr w:rsidR="000023CA" w:rsidRPr="008C21AB" w14:paraId="512ED4A3" w14:textId="77777777" w:rsidTr="004B25FD">
        <w:tc>
          <w:tcPr>
            <w:tcW w:w="4675" w:type="dxa"/>
          </w:tcPr>
          <w:p w14:paraId="1B3CB02C" w14:textId="217652DE" w:rsidR="000023CA" w:rsidRPr="009A3758" w:rsidRDefault="004B25FD">
            <w:pPr>
              <w:rPr>
                <w:rFonts w:ascii="Calibri" w:hAnsi="Calibri" w:cs="Calibri"/>
                <w:bCs/>
                <w:color w:val="000000" w:themeColor="text1"/>
                <w:sz w:val="22"/>
                <w:szCs w:val="22"/>
              </w:rPr>
            </w:pPr>
            <w:r w:rsidRPr="009A3758">
              <w:rPr>
                <w:rFonts w:ascii="Calibri" w:eastAsia="Times New Roman" w:hAnsi="Calibri" w:cs="Calibri"/>
                <w:color w:val="000000" w:themeColor="text1"/>
                <w:sz w:val="23"/>
                <w:szCs w:val="23"/>
              </w:rPr>
              <w:lastRenderedPageBreak/>
              <w:t>classroom evaluations do not meet the usual departmental standards and remediation efforts</w:t>
            </w:r>
          </w:p>
        </w:tc>
        <w:tc>
          <w:tcPr>
            <w:tcW w:w="4675" w:type="dxa"/>
          </w:tcPr>
          <w:p w14:paraId="09C91AAF" w14:textId="1A4A4F83" w:rsidR="004B25FD" w:rsidRPr="009A3758" w:rsidRDefault="004B25FD" w:rsidP="004B25FD">
            <w:pPr>
              <w:rPr>
                <w:rFonts w:ascii="Calibri" w:eastAsia="Times New Roman" w:hAnsi="Calibri" w:cs="Calibri"/>
                <w:color w:val="000000" w:themeColor="text1"/>
              </w:rPr>
            </w:pPr>
            <w:r w:rsidRPr="009A3758">
              <w:rPr>
                <w:rFonts w:ascii="Calibri" w:eastAsia="Times New Roman" w:hAnsi="Calibri" w:cs="Calibri"/>
                <w:color w:val="000000" w:themeColor="text1"/>
                <w:sz w:val="23"/>
                <w:szCs w:val="23"/>
              </w:rPr>
              <w:t xml:space="preserve">the instructor will no longer be eligible to teach CE regardless of other criteria for eligibility. NOTE: IHEs have an obligation to provide professional development and observe CE instructors the same way they do faculty on their campuses.  </w:t>
            </w:r>
          </w:p>
          <w:p w14:paraId="023F4B0D" w14:textId="77777777" w:rsidR="000023CA" w:rsidRPr="009A3758" w:rsidRDefault="000023CA" w:rsidP="004B25FD">
            <w:pPr>
              <w:rPr>
                <w:rFonts w:ascii="Calibri" w:hAnsi="Calibri" w:cs="Calibri"/>
                <w:bCs/>
                <w:color w:val="000000" w:themeColor="text1"/>
                <w:sz w:val="22"/>
                <w:szCs w:val="22"/>
              </w:rPr>
            </w:pPr>
          </w:p>
        </w:tc>
      </w:tr>
    </w:tbl>
    <w:p w14:paraId="3DBC6514" w14:textId="77777777" w:rsidR="00F948B9" w:rsidRDefault="00F948B9">
      <w:pPr>
        <w:rPr>
          <w:rFonts w:ascii="Calibri" w:hAnsi="Calibri" w:cs="Calibri"/>
          <w:b/>
          <w:bCs/>
          <w:sz w:val="22"/>
          <w:szCs w:val="22"/>
        </w:rPr>
      </w:pPr>
    </w:p>
    <w:p w14:paraId="66995B8B" w14:textId="0089DDD1" w:rsidR="00F96EFB" w:rsidRDefault="00F96EFB">
      <w:pPr>
        <w:rPr>
          <w:rFonts w:ascii="Calibri" w:hAnsi="Calibri" w:cs="Calibri"/>
          <w:b/>
          <w:bCs/>
          <w:sz w:val="22"/>
          <w:szCs w:val="22"/>
        </w:rPr>
      </w:pPr>
      <w:r>
        <w:rPr>
          <w:rFonts w:ascii="Calibri" w:hAnsi="Calibri" w:cs="Calibri"/>
          <w:b/>
          <w:bCs/>
          <w:sz w:val="22"/>
          <w:szCs w:val="22"/>
        </w:rPr>
        <w:t>INSTRUCTIONS</w:t>
      </w:r>
    </w:p>
    <w:p w14:paraId="1D025245" w14:textId="379EEA90" w:rsidR="00165034" w:rsidRPr="008C21AB" w:rsidRDefault="00165034">
      <w:pPr>
        <w:rPr>
          <w:rFonts w:ascii="Calibri" w:hAnsi="Calibri" w:cs="Calibri"/>
          <w:b/>
          <w:bCs/>
          <w:sz w:val="22"/>
          <w:szCs w:val="22"/>
        </w:rPr>
      </w:pPr>
      <w:r w:rsidRPr="008C21AB">
        <w:rPr>
          <w:rFonts w:ascii="Calibri" w:hAnsi="Calibri" w:cs="Calibri"/>
          <w:b/>
          <w:bCs/>
          <w:sz w:val="22"/>
          <w:szCs w:val="22"/>
        </w:rPr>
        <w:t>Before you can file a CE Instructor Appeal</w:t>
      </w:r>
    </w:p>
    <w:p w14:paraId="6181817D" w14:textId="0AE6C1DF" w:rsidR="00C44AFF" w:rsidRPr="008C21AB" w:rsidRDefault="00B2790D" w:rsidP="00C44AFF">
      <w:pPr>
        <w:rPr>
          <w:rFonts w:ascii="Calibri" w:hAnsi="Calibri" w:cs="Calibri"/>
        </w:rPr>
      </w:pPr>
      <w:r w:rsidRPr="008C21AB">
        <w:rPr>
          <w:rFonts w:ascii="Calibri" w:hAnsi="Calibri" w:cs="Calibri"/>
          <w:sz w:val="22"/>
          <w:szCs w:val="22"/>
        </w:rPr>
        <w:t>LEA s</w:t>
      </w:r>
      <w:r w:rsidR="00C44AFF" w:rsidRPr="008C21AB">
        <w:rPr>
          <w:rFonts w:ascii="Calibri" w:hAnsi="Calibri" w:cs="Calibri"/>
          <w:sz w:val="22"/>
          <w:szCs w:val="22"/>
        </w:rPr>
        <w:t>ubmit</w:t>
      </w:r>
      <w:r w:rsidRPr="008C21AB">
        <w:rPr>
          <w:rFonts w:ascii="Calibri" w:hAnsi="Calibri" w:cs="Calibri"/>
          <w:sz w:val="22"/>
          <w:szCs w:val="22"/>
        </w:rPr>
        <w:t>s a</w:t>
      </w:r>
      <w:r w:rsidR="00C44AFF" w:rsidRPr="008C21AB">
        <w:rPr>
          <w:rFonts w:ascii="Calibri" w:hAnsi="Calibri" w:cs="Calibri"/>
          <w:sz w:val="22"/>
          <w:szCs w:val="22"/>
        </w:rPr>
        <w:t xml:space="preserve"> request for </w:t>
      </w:r>
      <w:r w:rsidRPr="008C21AB">
        <w:rPr>
          <w:rFonts w:ascii="Calibri" w:hAnsi="Calibri" w:cs="Calibri"/>
          <w:sz w:val="22"/>
          <w:szCs w:val="22"/>
        </w:rPr>
        <w:t xml:space="preserve">its </w:t>
      </w:r>
      <w:r w:rsidR="00C44AFF" w:rsidRPr="008C21AB">
        <w:rPr>
          <w:rFonts w:ascii="Calibri" w:hAnsi="Calibri" w:cs="Calibri"/>
          <w:sz w:val="22"/>
          <w:szCs w:val="22"/>
        </w:rPr>
        <w:t>local institution to evaluate LEA employee eligibility</w:t>
      </w:r>
      <w:r w:rsidRPr="008C21AB">
        <w:rPr>
          <w:rFonts w:ascii="Calibri" w:hAnsi="Calibri" w:cs="Calibri"/>
          <w:sz w:val="22"/>
          <w:szCs w:val="22"/>
        </w:rPr>
        <w:t>:</w:t>
      </w:r>
      <w:r w:rsidR="00C44AFF" w:rsidRPr="008C21AB">
        <w:rPr>
          <w:rFonts w:ascii="Calibri" w:hAnsi="Calibri" w:cs="Calibri"/>
          <w:sz w:val="22"/>
          <w:szCs w:val="22"/>
        </w:rPr>
        <w:t xml:space="preserve">  </w:t>
      </w:r>
    </w:p>
    <w:p w14:paraId="0D329DD0" w14:textId="164E7F9D" w:rsidR="00165034" w:rsidRPr="008C21AB" w:rsidRDefault="00C44AFF" w:rsidP="00C44AFF">
      <w:pPr>
        <w:pStyle w:val="ListParagraph"/>
        <w:numPr>
          <w:ilvl w:val="0"/>
          <w:numId w:val="13"/>
        </w:numPr>
        <w:rPr>
          <w:rFonts w:ascii="Calibri" w:hAnsi="Calibri" w:cs="Calibri"/>
          <w:sz w:val="22"/>
          <w:szCs w:val="22"/>
        </w:rPr>
      </w:pPr>
      <w:r w:rsidRPr="008C21AB">
        <w:rPr>
          <w:rFonts w:ascii="Calibri" w:hAnsi="Calibri" w:cs="Calibri"/>
          <w:sz w:val="22"/>
          <w:szCs w:val="22"/>
        </w:rPr>
        <w:t xml:space="preserve">Provide information on how the employee meets a statutory requirement (e.g., industry certification, master’s degree in the discipline to be taught, or taught the class </w:t>
      </w:r>
      <w:r w:rsidR="0041556E" w:rsidRPr="008C21AB">
        <w:rPr>
          <w:rFonts w:ascii="Calibri" w:hAnsi="Calibri" w:cs="Calibri"/>
          <w:sz w:val="22"/>
          <w:szCs w:val="22"/>
        </w:rPr>
        <w:t>AY 2018</w:t>
      </w:r>
      <w:r w:rsidRPr="008C21AB">
        <w:rPr>
          <w:rFonts w:ascii="Calibri" w:hAnsi="Calibri" w:cs="Calibri"/>
          <w:sz w:val="22"/>
          <w:szCs w:val="22"/>
        </w:rPr>
        <w:t>-19 or 2019-20); OR</w:t>
      </w:r>
    </w:p>
    <w:p w14:paraId="1C1D177E" w14:textId="56770729" w:rsidR="00C44AFF" w:rsidRPr="008C21AB" w:rsidRDefault="00C44AFF" w:rsidP="00C44AFF">
      <w:pPr>
        <w:pStyle w:val="ListParagraph"/>
        <w:numPr>
          <w:ilvl w:val="0"/>
          <w:numId w:val="13"/>
        </w:numPr>
        <w:rPr>
          <w:rFonts w:ascii="Calibri" w:hAnsi="Calibri" w:cs="Calibri"/>
        </w:rPr>
      </w:pPr>
      <w:r w:rsidRPr="008C21AB">
        <w:rPr>
          <w:rFonts w:ascii="Calibri" w:hAnsi="Calibri" w:cs="Calibri"/>
        </w:rPr>
        <w:t>Provide evidence of qualifying experience</w:t>
      </w:r>
      <w:r w:rsidR="0041556E" w:rsidRPr="008C21AB">
        <w:rPr>
          <w:rFonts w:ascii="Calibri" w:hAnsi="Calibri" w:cs="Calibri"/>
        </w:rPr>
        <w:t xml:space="preserve"> per the institution’s requirements</w:t>
      </w:r>
      <w:r w:rsidRPr="008C21AB">
        <w:rPr>
          <w:rFonts w:ascii="Calibri" w:hAnsi="Calibri" w:cs="Calibri"/>
        </w:rPr>
        <w:t>; AND</w:t>
      </w:r>
    </w:p>
    <w:p w14:paraId="52C50153" w14:textId="77777777" w:rsidR="00166C2A" w:rsidRPr="008C21AB" w:rsidRDefault="00C44AFF" w:rsidP="00166C2A">
      <w:pPr>
        <w:pStyle w:val="ListParagraph"/>
        <w:numPr>
          <w:ilvl w:val="0"/>
          <w:numId w:val="13"/>
        </w:numPr>
        <w:rPr>
          <w:rFonts w:ascii="Calibri" w:hAnsi="Calibri" w:cs="Calibri"/>
        </w:rPr>
      </w:pPr>
      <w:r w:rsidRPr="008C21AB">
        <w:rPr>
          <w:rFonts w:ascii="Calibri" w:hAnsi="Calibri" w:cs="Calibri"/>
        </w:rPr>
        <w:t>Ask if the local institution would like any additional information or would like to speak directly with the employee.</w:t>
      </w:r>
    </w:p>
    <w:p w14:paraId="0D360B07" w14:textId="6AD0ADBC" w:rsidR="00C44AFF" w:rsidRPr="008C21AB" w:rsidRDefault="00C44AFF" w:rsidP="00166C2A">
      <w:pPr>
        <w:pStyle w:val="ListParagraph"/>
        <w:numPr>
          <w:ilvl w:val="0"/>
          <w:numId w:val="13"/>
        </w:numPr>
        <w:rPr>
          <w:rFonts w:ascii="Calibri" w:hAnsi="Calibri" w:cs="Calibri"/>
        </w:rPr>
      </w:pPr>
      <w:r w:rsidRPr="008C21AB">
        <w:rPr>
          <w:rFonts w:ascii="Calibri" w:hAnsi="Calibri" w:cs="Calibri"/>
        </w:rPr>
        <w:t xml:space="preserve">Finally, if the institution does not approve the employee, ask if there are any conditions such as “instructor of record” or </w:t>
      </w:r>
      <w:r w:rsidR="00B2790D" w:rsidRPr="008C21AB">
        <w:rPr>
          <w:rFonts w:ascii="Calibri" w:hAnsi="Calibri" w:cs="Calibri"/>
        </w:rPr>
        <w:t xml:space="preserve">completing professional development or taking a graduate course </w:t>
      </w:r>
      <w:proofErr w:type="gramStart"/>
      <w:r w:rsidR="00B2790D" w:rsidRPr="008C21AB">
        <w:rPr>
          <w:rFonts w:ascii="Calibri" w:hAnsi="Calibri" w:cs="Calibri"/>
        </w:rPr>
        <w:t>by which</w:t>
      </w:r>
      <w:proofErr w:type="gramEnd"/>
      <w:r w:rsidR="00B2790D" w:rsidRPr="008C21AB">
        <w:rPr>
          <w:rFonts w:ascii="Calibri" w:hAnsi="Calibri" w:cs="Calibri"/>
        </w:rPr>
        <w:t xml:space="preserve"> the institution would consider the employee eligible.  NOTE:  Institutions are encouraged to provide this information.  </w:t>
      </w:r>
    </w:p>
    <w:p w14:paraId="01A79823" w14:textId="3A63C37C" w:rsidR="00B2790D" w:rsidRPr="008C21AB" w:rsidRDefault="00B2790D" w:rsidP="00B2790D">
      <w:pPr>
        <w:rPr>
          <w:rFonts w:ascii="Calibri" w:hAnsi="Calibri" w:cs="Calibri"/>
        </w:rPr>
      </w:pPr>
    </w:p>
    <w:p w14:paraId="6BE12C66" w14:textId="64BE3694" w:rsidR="00B2790D" w:rsidRPr="008C21AB" w:rsidRDefault="00B2790D" w:rsidP="00166C2A">
      <w:pPr>
        <w:rPr>
          <w:rFonts w:ascii="Calibri" w:hAnsi="Calibri" w:cs="Calibri"/>
        </w:rPr>
      </w:pPr>
      <w:r w:rsidRPr="008C21AB">
        <w:rPr>
          <w:rFonts w:ascii="Calibri" w:hAnsi="Calibri" w:cs="Calibri"/>
        </w:rPr>
        <w:t>If, after completing the institution adjunct instructor evaluation process, the employee is not approved to teach a CE course, the LEA initiates the appeal.  The appeal allows both LEA and institution to document reasons for and against approving the employee to teach CE.  These arguments are advanced to the chief academic officer who will either render a decision agreeable to both parties or deliver the appeal petition to the commissioner’s staff.</w:t>
      </w:r>
    </w:p>
    <w:p w14:paraId="5B934FBC" w14:textId="77777777" w:rsidR="00165034" w:rsidRPr="008C21AB" w:rsidRDefault="00165034">
      <w:pPr>
        <w:rPr>
          <w:rFonts w:ascii="Calibri" w:hAnsi="Calibri" w:cs="Calibri"/>
          <w:b/>
          <w:bCs/>
          <w:sz w:val="22"/>
          <w:szCs w:val="22"/>
        </w:rPr>
      </w:pPr>
    </w:p>
    <w:p w14:paraId="0B4B6193" w14:textId="33B192E9" w:rsidR="00E2013C" w:rsidRPr="008C21AB" w:rsidRDefault="00AE7B68" w:rsidP="00185472">
      <w:pPr>
        <w:rPr>
          <w:rFonts w:ascii="Calibri" w:eastAsia="Times New Roman" w:hAnsi="Calibri" w:cs="Calibri"/>
          <w:sz w:val="22"/>
          <w:szCs w:val="22"/>
        </w:rPr>
      </w:pPr>
      <w:r w:rsidRPr="008C21AB">
        <w:rPr>
          <w:rFonts w:ascii="Calibri" w:hAnsi="Calibri" w:cs="Calibri"/>
          <w:b/>
          <w:bCs/>
          <w:sz w:val="22"/>
          <w:szCs w:val="22"/>
        </w:rPr>
        <w:t>Evidence of Qualif</w:t>
      </w:r>
      <w:r w:rsidR="00B2790D" w:rsidRPr="008C21AB">
        <w:rPr>
          <w:rFonts w:ascii="Calibri" w:hAnsi="Calibri" w:cs="Calibri"/>
          <w:b/>
          <w:bCs/>
          <w:sz w:val="22"/>
          <w:szCs w:val="22"/>
        </w:rPr>
        <w:t>ying Experience</w:t>
      </w:r>
      <w:r w:rsidR="00185472" w:rsidRPr="008C21AB">
        <w:rPr>
          <w:rFonts w:ascii="Calibri" w:hAnsi="Calibri" w:cs="Calibri"/>
          <w:b/>
          <w:bCs/>
          <w:sz w:val="22"/>
          <w:szCs w:val="22"/>
        </w:rPr>
        <w:br/>
      </w:r>
      <w:r w:rsidR="00185472" w:rsidRPr="008C21AB">
        <w:rPr>
          <w:rFonts w:ascii="Calibri" w:hAnsi="Calibri" w:cs="Calibri"/>
          <w:sz w:val="22"/>
          <w:szCs w:val="22"/>
        </w:rPr>
        <w:t xml:space="preserve">Statute allows for LEA employees to be eligible to teach CE courses based on </w:t>
      </w:r>
      <w:r w:rsidR="00185472" w:rsidRPr="008C21AB">
        <w:rPr>
          <w:rFonts w:ascii="Calibri" w:eastAsia="Times New Roman" w:hAnsi="Calibri" w:cs="Calibri"/>
          <w:sz w:val="22"/>
          <w:szCs w:val="22"/>
        </w:rPr>
        <w:t xml:space="preserve">qualifying experience, </w:t>
      </w:r>
      <w:r w:rsidR="00185472" w:rsidRPr="008C21AB">
        <w:rPr>
          <w:rFonts w:ascii="Calibri" w:eastAsia="Times New Roman" w:hAnsi="Calibri" w:cs="Calibri"/>
          <w:i/>
          <w:sz w:val="22"/>
          <w:szCs w:val="22"/>
        </w:rPr>
        <w:t>as determined by the institution of higher education</w:t>
      </w:r>
      <w:r w:rsidR="00185472" w:rsidRPr="008C21AB">
        <w:rPr>
          <w:rFonts w:ascii="Calibri" w:eastAsia="Times New Roman" w:hAnsi="Calibri" w:cs="Calibri"/>
          <w:sz w:val="22"/>
          <w:szCs w:val="22"/>
        </w:rPr>
        <w:t>. Qualifying experience may include the employee’s (a) number of years teaching in the academic field; (b) holding a higher level secondary teaching credential issued by the state board; (c) research, publications, or other scholarly work in the academic field; (d) continuing professional education in the academic field; (e) a portfolio of work related to the academic field; or (f) professional work experience or certifications in the academic field.</w:t>
      </w:r>
      <w:r w:rsidR="00E2013C" w:rsidRPr="008C21AB">
        <w:rPr>
          <w:rFonts w:ascii="Calibri" w:eastAsia="Times New Roman" w:hAnsi="Calibri" w:cs="Calibri"/>
          <w:sz w:val="22"/>
          <w:szCs w:val="22"/>
        </w:rPr>
        <w:t xml:space="preserve"> </w:t>
      </w:r>
    </w:p>
    <w:p w14:paraId="012BD050" w14:textId="77777777" w:rsidR="00E2013C" w:rsidRPr="008C21AB" w:rsidRDefault="00E2013C" w:rsidP="00185472">
      <w:pPr>
        <w:rPr>
          <w:rFonts w:ascii="Calibri" w:eastAsia="Times New Roman" w:hAnsi="Calibri" w:cs="Calibri"/>
          <w:sz w:val="22"/>
          <w:szCs w:val="22"/>
        </w:rPr>
      </w:pPr>
    </w:p>
    <w:p w14:paraId="4ED797E6" w14:textId="22E520D0" w:rsidR="00F641C9" w:rsidRPr="008C21AB" w:rsidRDefault="00E2013C">
      <w:pPr>
        <w:rPr>
          <w:rFonts w:ascii="Calibri" w:hAnsi="Calibri" w:cs="Calibri"/>
          <w:sz w:val="22"/>
          <w:szCs w:val="22"/>
        </w:rPr>
      </w:pPr>
      <w:r w:rsidRPr="008C21AB">
        <w:rPr>
          <w:rFonts w:ascii="Calibri" w:eastAsia="Times New Roman" w:hAnsi="Calibri" w:cs="Calibri"/>
          <w:sz w:val="22"/>
          <w:szCs w:val="22"/>
        </w:rPr>
        <w:t>When asking an institution to consider qualifying experience, prove a</w:t>
      </w:r>
      <w:r w:rsidR="00F641C9" w:rsidRPr="008C21AB">
        <w:rPr>
          <w:rFonts w:ascii="Calibri" w:hAnsi="Calibri" w:cs="Calibri"/>
          <w:sz w:val="22"/>
          <w:szCs w:val="22"/>
        </w:rPr>
        <w:t xml:space="preserve">rtifacts that demonstrate possible alternative qualifications to teach CE courses </w:t>
      </w:r>
      <w:r w:rsidRPr="008C21AB">
        <w:rPr>
          <w:rFonts w:ascii="Calibri" w:hAnsi="Calibri" w:cs="Calibri"/>
          <w:sz w:val="22"/>
          <w:szCs w:val="22"/>
        </w:rPr>
        <w:t>such as</w:t>
      </w:r>
      <w:r w:rsidR="00F641C9" w:rsidRPr="008C21AB">
        <w:rPr>
          <w:rFonts w:ascii="Calibri" w:hAnsi="Calibri" w:cs="Calibri"/>
          <w:sz w:val="22"/>
          <w:szCs w:val="22"/>
        </w:rPr>
        <w:t>:</w:t>
      </w:r>
    </w:p>
    <w:p w14:paraId="122FE562" w14:textId="77777777" w:rsidR="00F641C9" w:rsidRPr="008C21AB" w:rsidRDefault="00F641C9">
      <w:pPr>
        <w:rPr>
          <w:rFonts w:ascii="Calibri" w:hAnsi="Calibri" w:cs="Calibri"/>
          <w:sz w:val="22"/>
          <w:szCs w:val="22"/>
        </w:rPr>
      </w:pPr>
    </w:p>
    <w:p w14:paraId="17D55125" w14:textId="77777777" w:rsidR="00F641C9" w:rsidRPr="008C21AB" w:rsidRDefault="00F641C9" w:rsidP="00F641C9">
      <w:pPr>
        <w:pStyle w:val="ListParagraph"/>
        <w:numPr>
          <w:ilvl w:val="0"/>
          <w:numId w:val="1"/>
        </w:numPr>
        <w:rPr>
          <w:rFonts w:ascii="Calibri" w:hAnsi="Calibri" w:cs="Calibri"/>
          <w:sz w:val="22"/>
          <w:szCs w:val="22"/>
        </w:rPr>
      </w:pPr>
      <w:r w:rsidRPr="008C21AB">
        <w:rPr>
          <w:rFonts w:ascii="Calibri" w:hAnsi="Calibri" w:cs="Calibri"/>
          <w:sz w:val="22"/>
          <w:szCs w:val="22"/>
        </w:rPr>
        <w:t>Current teaching vitae which includes:</w:t>
      </w:r>
    </w:p>
    <w:p w14:paraId="0946B457" w14:textId="77777777" w:rsidR="00F641C9" w:rsidRPr="008C21AB" w:rsidRDefault="00F641C9" w:rsidP="00F641C9">
      <w:pPr>
        <w:pStyle w:val="ListParagraph"/>
        <w:numPr>
          <w:ilvl w:val="1"/>
          <w:numId w:val="1"/>
        </w:numPr>
        <w:rPr>
          <w:rFonts w:ascii="Calibri" w:hAnsi="Calibri" w:cs="Calibri"/>
          <w:sz w:val="22"/>
          <w:szCs w:val="22"/>
        </w:rPr>
      </w:pPr>
      <w:r w:rsidRPr="008C21AB">
        <w:rPr>
          <w:rFonts w:ascii="Calibri" w:hAnsi="Calibri" w:cs="Calibri"/>
          <w:sz w:val="22"/>
          <w:szCs w:val="22"/>
        </w:rPr>
        <w:t>years’ teaching experience</w:t>
      </w:r>
    </w:p>
    <w:p w14:paraId="08C6989E" w14:textId="0EF59C40" w:rsidR="00F641C9" w:rsidRPr="008C21AB" w:rsidRDefault="00F641C9" w:rsidP="00F641C9">
      <w:pPr>
        <w:pStyle w:val="ListParagraph"/>
        <w:numPr>
          <w:ilvl w:val="1"/>
          <w:numId w:val="1"/>
        </w:numPr>
        <w:rPr>
          <w:rFonts w:ascii="Calibri" w:hAnsi="Calibri" w:cs="Calibri"/>
          <w:sz w:val="22"/>
          <w:szCs w:val="22"/>
        </w:rPr>
      </w:pPr>
      <w:r w:rsidRPr="008C21AB">
        <w:rPr>
          <w:rFonts w:ascii="Calibri" w:hAnsi="Calibri" w:cs="Calibri"/>
          <w:sz w:val="22"/>
          <w:szCs w:val="22"/>
        </w:rPr>
        <w:t>secondary courses taught</w:t>
      </w:r>
    </w:p>
    <w:p w14:paraId="2E9FA812" w14:textId="1F29165D" w:rsidR="00F641C9" w:rsidRPr="008C21AB" w:rsidRDefault="00F641C9" w:rsidP="00F641C9">
      <w:pPr>
        <w:pStyle w:val="ListParagraph"/>
        <w:numPr>
          <w:ilvl w:val="1"/>
          <w:numId w:val="1"/>
        </w:numPr>
        <w:rPr>
          <w:rFonts w:ascii="Calibri" w:hAnsi="Calibri" w:cs="Calibri"/>
          <w:sz w:val="22"/>
          <w:szCs w:val="22"/>
        </w:rPr>
      </w:pPr>
      <w:r w:rsidRPr="008C21AB">
        <w:rPr>
          <w:rFonts w:ascii="Calibri" w:hAnsi="Calibri" w:cs="Calibri"/>
          <w:sz w:val="22"/>
          <w:szCs w:val="22"/>
        </w:rPr>
        <w:t>professional credentials such as ASE automotive certification</w:t>
      </w:r>
    </w:p>
    <w:p w14:paraId="064BAD71" w14:textId="68FB51BF" w:rsidR="00F641C9" w:rsidRPr="008C21AB" w:rsidRDefault="00F641C9" w:rsidP="00F641C9">
      <w:pPr>
        <w:pStyle w:val="ListParagraph"/>
        <w:numPr>
          <w:ilvl w:val="1"/>
          <w:numId w:val="1"/>
        </w:numPr>
        <w:rPr>
          <w:rFonts w:ascii="Calibri" w:hAnsi="Calibri" w:cs="Calibri"/>
          <w:sz w:val="22"/>
          <w:szCs w:val="22"/>
        </w:rPr>
      </w:pPr>
      <w:r w:rsidRPr="008C21AB">
        <w:rPr>
          <w:rFonts w:ascii="Calibri" w:hAnsi="Calibri" w:cs="Calibri"/>
          <w:sz w:val="22"/>
          <w:szCs w:val="22"/>
        </w:rPr>
        <w:t>related professional development completed</w:t>
      </w:r>
    </w:p>
    <w:p w14:paraId="1BEB65D2" w14:textId="2C1082A0" w:rsidR="00F641C9" w:rsidRPr="008C21AB" w:rsidRDefault="00F641C9" w:rsidP="00F641C9">
      <w:pPr>
        <w:pStyle w:val="ListParagraph"/>
        <w:numPr>
          <w:ilvl w:val="0"/>
          <w:numId w:val="1"/>
        </w:numPr>
        <w:rPr>
          <w:rFonts w:ascii="Calibri" w:hAnsi="Calibri" w:cs="Calibri"/>
          <w:sz w:val="22"/>
          <w:szCs w:val="22"/>
        </w:rPr>
      </w:pPr>
      <w:r w:rsidRPr="008C21AB">
        <w:rPr>
          <w:rFonts w:ascii="Calibri" w:hAnsi="Calibri" w:cs="Calibri"/>
          <w:sz w:val="22"/>
          <w:szCs w:val="22"/>
        </w:rPr>
        <w:lastRenderedPageBreak/>
        <w:t xml:space="preserve">College or university transcripts which show degrees earned and/or graduate credits earned.  NOTE: Courses numbered 6000 or above are graduate credits.  In certain instances, some 5000-level courses </w:t>
      </w:r>
      <w:r w:rsidR="00396BD2">
        <w:rPr>
          <w:rFonts w:ascii="Calibri" w:hAnsi="Calibri" w:cs="Calibri"/>
          <w:sz w:val="22"/>
          <w:szCs w:val="22"/>
        </w:rPr>
        <w:t>may be</w:t>
      </w:r>
      <w:r w:rsidRPr="008C21AB">
        <w:rPr>
          <w:rFonts w:ascii="Calibri" w:hAnsi="Calibri" w:cs="Calibri"/>
          <w:sz w:val="22"/>
          <w:szCs w:val="22"/>
        </w:rPr>
        <w:t xml:space="preserve"> considered graduate credit.</w:t>
      </w:r>
      <w:r w:rsidR="00396BD2">
        <w:rPr>
          <w:rFonts w:ascii="Calibri" w:hAnsi="Calibri" w:cs="Calibri"/>
          <w:sz w:val="22"/>
          <w:szCs w:val="22"/>
        </w:rPr>
        <w:t xml:space="preserve"> Check with the institution.</w:t>
      </w:r>
    </w:p>
    <w:p w14:paraId="7BC16AE2" w14:textId="64467DFD" w:rsidR="00F641C9" w:rsidRPr="008C21AB" w:rsidRDefault="00F641C9" w:rsidP="00F641C9">
      <w:pPr>
        <w:pStyle w:val="ListParagraph"/>
        <w:numPr>
          <w:ilvl w:val="0"/>
          <w:numId w:val="1"/>
        </w:numPr>
        <w:rPr>
          <w:rFonts w:ascii="Calibri" w:hAnsi="Calibri" w:cs="Calibri"/>
          <w:sz w:val="22"/>
          <w:szCs w:val="22"/>
        </w:rPr>
      </w:pPr>
      <w:r w:rsidRPr="008C21AB">
        <w:rPr>
          <w:rFonts w:ascii="Calibri" w:hAnsi="Calibri" w:cs="Calibri"/>
          <w:sz w:val="22"/>
          <w:szCs w:val="22"/>
        </w:rPr>
        <w:t>Publications educator authored or co-authored</w:t>
      </w:r>
    </w:p>
    <w:p w14:paraId="7F5C4339" w14:textId="76F2113C" w:rsidR="00F641C9" w:rsidRPr="008C21AB" w:rsidRDefault="00F641C9" w:rsidP="00F641C9">
      <w:pPr>
        <w:pStyle w:val="ListParagraph"/>
        <w:numPr>
          <w:ilvl w:val="0"/>
          <w:numId w:val="1"/>
        </w:numPr>
        <w:rPr>
          <w:rFonts w:ascii="Calibri" w:hAnsi="Calibri" w:cs="Calibri"/>
          <w:sz w:val="22"/>
          <w:szCs w:val="22"/>
        </w:rPr>
      </w:pPr>
      <w:r w:rsidRPr="008C21AB">
        <w:rPr>
          <w:rFonts w:ascii="Calibri" w:hAnsi="Calibri" w:cs="Calibri"/>
          <w:sz w:val="22"/>
          <w:szCs w:val="22"/>
        </w:rPr>
        <w:t>State or national conference presentations made by educator</w:t>
      </w:r>
    </w:p>
    <w:p w14:paraId="3F8C1412" w14:textId="527F9C52" w:rsidR="00F641C9" w:rsidRPr="008C21AB" w:rsidRDefault="00F641C9" w:rsidP="00F641C9">
      <w:pPr>
        <w:pStyle w:val="ListParagraph"/>
        <w:numPr>
          <w:ilvl w:val="0"/>
          <w:numId w:val="1"/>
        </w:numPr>
        <w:rPr>
          <w:rFonts w:ascii="Calibri" w:hAnsi="Calibri" w:cs="Calibri"/>
          <w:sz w:val="22"/>
          <w:szCs w:val="22"/>
        </w:rPr>
      </w:pPr>
      <w:r w:rsidRPr="008C21AB">
        <w:rPr>
          <w:rFonts w:ascii="Calibri" w:hAnsi="Calibri" w:cs="Calibri"/>
          <w:sz w:val="22"/>
          <w:szCs w:val="22"/>
        </w:rPr>
        <w:t>For certain courses, such as CE Art courses or CE CTE Construction courses, a portfolio of educator’s work in the discipline (e.g., photography, ceramics, cabinetry)</w:t>
      </w:r>
    </w:p>
    <w:p w14:paraId="049CC6B7" w14:textId="1956B905" w:rsidR="00F641C9" w:rsidRPr="008C21AB" w:rsidRDefault="00F641C9" w:rsidP="00F641C9">
      <w:pPr>
        <w:pStyle w:val="ListParagraph"/>
        <w:numPr>
          <w:ilvl w:val="0"/>
          <w:numId w:val="1"/>
        </w:numPr>
        <w:rPr>
          <w:rFonts w:ascii="Calibri" w:hAnsi="Calibri" w:cs="Calibri"/>
          <w:sz w:val="22"/>
          <w:szCs w:val="22"/>
        </w:rPr>
      </w:pPr>
      <w:r w:rsidRPr="008C21AB">
        <w:rPr>
          <w:rFonts w:ascii="Calibri" w:hAnsi="Calibri" w:cs="Calibri"/>
          <w:sz w:val="22"/>
          <w:szCs w:val="22"/>
        </w:rPr>
        <w:t>A brief statement of life experiences that may contribute to the educator’s knowledge of the subject (e.g., native speaker of a world language)</w:t>
      </w:r>
    </w:p>
    <w:p w14:paraId="755F0639" w14:textId="7DC8846C" w:rsidR="001866AA" w:rsidRDefault="001866AA" w:rsidP="00E2013C">
      <w:pPr>
        <w:pStyle w:val="ListParagraph"/>
        <w:rPr>
          <w:rFonts w:ascii="Calibri" w:hAnsi="Calibri" w:cs="Calibri"/>
          <w:sz w:val="22"/>
          <w:szCs w:val="22"/>
        </w:rPr>
      </w:pPr>
    </w:p>
    <w:p w14:paraId="108D21A4" w14:textId="77777777" w:rsidR="008C21AB" w:rsidRPr="008C21AB" w:rsidRDefault="008C21AB" w:rsidP="00E2013C">
      <w:pPr>
        <w:pStyle w:val="ListParagraph"/>
        <w:rPr>
          <w:rFonts w:ascii="Calibri" w:hAnsi="Calibri" w:cs="Calibri"/>
          <w:sz w:val="22"/>
          <w:szCs w:val="22"/>
        </w:rPr>
      </w:pPr>
    </w:p>
    <w:p w14:paraId="1518CAD5" w14:textId="7DA712F5" w:rsidR="00B2790D" w:rsidRPr="008C21AB" w:rsidRDefault="00B2790D" w:rsidP="00B2790D">
      <w:pPr>
        <w:pStyle w:val="ListParagraph"/>
        <w:ind w:left="0"/>
        <w:rPr>
          <w:rFonts w:ascii="Calibri" w:hAnsi="Calibri" w:cs="Calibri"/>
          <w:b/>
          <w:bCs/>
          <w:sz w:val="22"/>
          <w:szCs w:val="22"/>
        </w:rPr>
      </w:pPr>
      <w:r w:rsidRPr="008C21AB">
        <w:rPr>
          <w:rFonts w:ascii="Calibri" w:hAnsi="Calibri" w:cs="Calibri"/>
          <w:b/>
          <w:bCs/>
          <w:sz w:val="22"/>
          <w:szCs w:val="22"/>
        </w:rPr>
        <w:t>Common Questions</w:t>
      </w:r>
    </w:p>
    <w:p w14:paraId="7BC0DAAD" w14:textId="77777777" w:rsidR="00BE14B6" w:rsidRPr="008C21AB" w:rsidRDefault="00BE14B6" w:rsidP="00BE14B6">
      <w:pPr>
        <w:rPr>
          <w:rFonts w:ascii="Calibri" w:hAnsi="Calibri" w:cs="Calibri"/>
          <w:sz w:val="22"/>
          <w:szCs w:val="22"/>
        </w:rPr>
      </w:pPr>
      <w:r w:rsidRPr="008C21AB">
        <w:rPr>
          <w:rFonts w:ascii="Calibri" w:hAnsi="Calibri" w:cs="Calibri"/>
          <w:b/>
          <w:bCs/>
          <w:color w:val="FF0000"/>
          <w:sz w:val="22"/>
          <w:szCs w:val="22"/>
        </w:rPr>
        <w:t>Q:</w:t>
      </w:r>
      <w:r w:rsidRPr="008C21AB">
        <w:rPr>
          <w:rFonts w:ascii="Calibri" w:hAnsi="Calibri" w:cs="Calibri"/>
          <w:color w:val="FF0000"/>
          <w:sz w:val="22"/>
          <w:szCs w:val="22"/>
        </w:rPr>
        <w:t xml:space="preserve"> </w:t>
      </w:r>
      <w:r>
        <w:rPr>
          <w:rFonts w:ascii="Calibri" w:hAnsi="Calibri" w:cs="Calibri"/>
          <w:sz w:val="22"/>
          <w:szCs w:val="22"/>
        </w:rPr>
        <w:t>How long will the appeal process take?</w:t>
      </w:r>
    </w:p>
    <w:p w14:paraId="3092292B" w14:textId="68C84E57" w:rsidR="00BE14B6" w:rsidRDefault="00BE14B6" w:rsidP="00BE14B6">
      <w:pPr>
        <w:rPr>
          <w:rFonts w:ascii="Calibri" w:hAnsi="Calibri" w:cs="Calibri"/>
          <w:b/>
          <w:bCs/>
          <w:color w:val="FF0000"/>
          <w:sz w:val="22"/>
          <w:szCs w:val="22"/>
        </w:rPr>
      </w:pPr>
      <w:r w:rsidRPr="008C21AB">
        <w:rPr>
          <w:rFonts w:ascii="Calibri" w:hAnsi="Calibri" w:cs="Calibri"/>
          <w:b/>
          <w:bCs/>
          <w:color w:val="0070C0"/>
          <w:sz w:val="22"/>
          <w:szCs w:val="22"/>
        </w:rPr>
        <w:t>A</w:t>
      </w:r>
      <w:r w:rsidRPr="008C21AB">
        <w:rPr>
          <w:rFonts w:ascii="Calibri" w:hAnsi="Calibri" w:cs="Calibri"/>
          <w:sz w:val="22"/>
          <w:szCs w:val="22"/>
        </w:rPr>
        <w:t xml:space="preserve">: </w:t>
      </w:r>
      <w:r w:rsidR="00E6481F">
        <w:rPr>
          <w:rFonts w:ascii="Calibri" w:hAnsi="Calibri" w:cs="Calibri"/>
          <w:sz w:val="22"/>
          <w:szCs w:val="22"/>
        </w:rPr>
        <w:t>Once an appeal is received by the commissioner’s office, the commissioner’s decision should be communicated within four weeks.  The internal review should be complete with five business days, follow up with the institution and the LEA may take an additional five business days, and convening the review committee, writing a decision recommendation and securing the commissioner’s decision may take an additional 10 business days.</w:t>
      </w:r>
    </w:p>
    <w:p w14:paraId="0490C171" w14:textId="77777777" w:rsidR="00BE14B6" w:rsidRDefault="00BE14B6" w:rsidP="00B66141">
      <w:pPr>
        <w:rPr>
          <w:rFonts w:ascii="Calibri" w:hAnsi="Calibri" w:cs="Calibri"/>
          <w:b/>
          <w:bCs/>
          <w:color w:val="FF0000"/>
          <w:sz w:val="22"/>
          <w:szCs w:val="22"/>
        </w:rPr>
      </w:pPr>
    </w:p>
    <w:p w14:paraId="50AA7D28" w14:textId="5758CBD6" w:rsidR="00B66141" w:rsidRPr="008C21AB" w:rsidRDefault="00B66141" w:rsidP="00B66141">
      <w:pPr>
        <w:rPr>
          <w:rFonts w:ascii="Calibri" w:hAnsi="Calibri" w:cs="Calibri"/>
          <w:sz w:val="22"/>
          <w:szCs w:val="22"/>
        </w:rPr>
      </w:pPr>
      <w:r w:rsidRPr="008C21AB">
        <w:rPr>
          <w:rFonts w:ascii="Calibri" w:hAnsi="Calibri" w:cs="Calibri"/>
          <w:b/>
          <w:bCs/>
          <w:color w:val="FF0000"/>
          <w:sz w:val="22"/>
          <w:szCs w:val="22"/>
        </w:rPr>
        <w:t>Q:</w:t>
      </w:r>
      <w:r w:rsidRPr="008C21AB">
        <w:rPr>
          <w:rFonts w:ascii="Calibri" w:hAnsi="Calibri" w:cs="Calibri"/>
          <w:color w:val="FF0000"/>
          <w:sz w:val="22"/>
          <w:szCs w:val="22"/>
        </w:rPr>
        <w:t xml:space="preserve"> </w:t>
      </w:r>
      <w:r w:rsidRPr="008C21AB">
        <w:rPr>
          <w:rFonts w:ascii="Calibri" w:hAnsi="Calibri" w:cs="Calibri"/>
          <w:sz w:val="22"/>
          <w:szCs w:val="22"/>
        </w:rPr>
        <w:t>Can an institution deny an employee who holds a master’s degree in the discipline under special circumstances?</w:t>
      </w:r>
    </w:p>
    <w:p w14:paraId="3492074F" w14:textId="3ED52BBB" w:rsidR="00B66141" w:rsidRPr="008C21AB" w:rsidRDefault="00B66141" w:rsidP="00B66141">
      <w:pPr>
        <w:rPr>
          <w:rFonts w:ascii="Calibri" w:hAnsi="Calibri" w:cs="Calibri"/>
          <w:sz w:val="22"/>
          <w:szCs w:val="22"/>
        </w:rPr>
      </w:pPr>
      <w:r w:rsidRPr="008C21AB">
        <w:rPr>
          <w:rFonts w:ascii="Calibri" w:hAnsi="Calibri" w:cs="Calibri"/>
          <w:b/>
          <w:bCs/>
          <w:color w:val="0070C0"/>
          <w:sz w:val="22"/>
          <w:szCs w:val="22"/>
        </w:rPr>
        <w:t>A</w:t>
      </w:r>
      <w:r w:rsidRPr="008C21AB">
        <w:rPr>
          <w:rFonts w:ascii="Calibri" w:hAnsi="Calibri" w:cs="Calibri"/>
          <w:sz w:val="22"/>
          <w:szCs w:val="22"/>
        </w:rPr>
        <w:t xml:space="preserve">: </w:t>
      </w:r>
      <w:r w:rsidR="00660482" w:rsidRPr="008C21AB">
        <w:rPr>
          <w:rFonts w:ascii="Calibri" w:hAnsi="Calibri" w:cs="Calibri"/>
          <w:sz w:val="22"/>
          <w:szCs w:val="22"/>
        </w:rPr>
        <w:t xml:space="preserve">No. </w:t>
      </w:r>
      <w:r w:rsidRPr="008C21AB">
        <w:rPr>
          <w:rFonts w:ascii="Calibri" w:hAnsi="Calibri" w:cs="Calibri"/>
          <w:sz w:val="22"/>
          <w:szCs w:val="22"/>
        </w:rPr>
        <w:t xml:space="preserve">Statute is not permissive.  If an employee holds a master’s degree </w:t>
      </w:r>
      <w:r w:rsidR="00900FA0" w:rsidRPr="008C21AB">
        <w:rPr>
          <w:rFonts w:ascii="Calibri" w:hAnsi="Calibri" w:cs="Calibri"/>
          <w:sz w:val="22"/>
          <w:szCs w:val="22"/>
        </w:rPr>
        <w:t xml:space="preserve">in the discipline, whether it is </w:t>
      </w:r>
      <w:r w:rsidRPr="008C21AB">
        <w:rPr>
          <w:rFonts w:ascii="Calibri" w:hAnsi="Calibri" w:cs="Calibri"/>
          <w:sz w:val="22"/>
          <w:szCs w:val="22"/>
        </w:rPr>
        <w:t>earned online or earned years ago</w:t>
      </w:r>
      <w:r w:rsidR="00900FA0" w:rsidRPr="008C21AB">
        <w:rPr>
          <w:rFonts w:ascii="Calibri" w:hAnsi="Calibri" w:cs="Calibri"/>
          <w:sz w:val="22"/>
          <w:szCs w:val="22"/>
        </w:rPr>
        <w:t>, as long as the</w:t>
      </w:r>
      <w:r w:rsidRPr="008C21AB">
        <w:rPr>
          <w:rFonts w:ascii="Calibri" w:hAnsi="Calibri" w:cs="Calibri"/>
          <w:sz w:val="22"/>
          <w:szCs w:val="22"/>
        </w:rPr>
        <w:t xml:space="preserve"> institution is </w:t>
      </w:r>
      <w:r w:rsidR="000D1C10" w:rsidRPr="008C21AB">
        <w:rPr>
          <w:rFonts w:ascii="Calibri" w:hAnsi="Calibri" w:cs="Calibri"/>
          <w:sz w:val="22"/>
          <w:szCs w:val="22"/>
        </w:rPr>
        <w:t>accredited</w:t>
      </w:r>
      <w:r w:rsidRPr="008C21AB">
        <w:rPr>
          <w:rFonts w:ascii="Calibri" w:hAnsi="Calibri" w:cs="Calibri"/>
          <w:sz w:val="22"/>
          <w:szCs w:val="22"/>
        </w:rPr>
        <w:t xml:space="preserve">, the employee is eligible. </w:t>
      </w:r>
    </w:p>
    <w:p w14:paraId="7C0164B9" w14:textId="5C81FE46" w:rsidR="000D1C10" w:rsidRPr="008C21AB" w:rsidRDefault="000D1C10" w:rsidP="00B66141">
      <w:pPr>
        <w:rPr>
          <w:rFonts w:ascii="Calibri" w:hAnsi="Calibri" w:cs="Calibri"/>
          <w:sz w:val="22"/>
          <w:szCs w:val="22"/>
        </w:rPr>
      </w:pPr>
    </w:p>
    <w:p w14:paraId="316D8D3B" w14:textId="0923C3D8" w:rsidR="000D1C10" w:rsidRPr="008C21AB" w:rsidRDefault="00166C2A" w:rsidP="00B66141">
      <w:pPr>
        <w:rPr>
          <w:rFonts w:ascii="Calibri" w:hAnsi="Calibri" w:cs="Calibri"/>
          <w:sz w:val="22"/>
          <w:szCs w:val="22"/>
        </w:rPr>
      </w:pPr>
      <w:r w:rsidRPr="008C21AB">
        <w:rPr>
          <w:rFonts w:ascii="Calibri" w:hAnsi="Calibri" w:cs="Calibri"/>
          <w:b/>
          <w:bCs/>
          <w:color w:val="FF0000"/>
          <w:sz w:val="22"/>
          <w:szCs w:val="22"/>
        </w:rPr>
        <w:t>Q:</w:t>
      </w:r>
      <w:r w:rsidRPr="008C21AB">
        <w:rPr>
          <w:rFonts w:ascii="Calibri" w:hAnsi="Calibri" w:cs="Calibri"/>
          <w:color w:val="FF0000"/>
          <w:sz w:val="22"/>
          <w:szCs w:val="22"/>
        </w:rPr>
        <w:t xml:space="preserve"> </w:t>
      </w:r>
      <w:r w:rsidR="000D1C10" w:rsidRPr="008C21AB">
        <w:rPr>
          <w:rFonts w:ascii="Calibri" w:hAnsi="Calibri" w:cs="Calibri"/>
          <w:sz w:val="22"/>
          <w:szCs w:val="22"/>
        </w:rPr>
        <w:t>If the local institution denies an employee’s qualifying experience, can the LEA contact another USHE institution?</w:t>
      </w:r>
    </w:p>
    <w:p w14:paraId="0204A105" w14:textId="5BDCE237" w:rsidR="000D1C10" w:rsidRPr="008C21AB" w:rsidRDefault="00166C2A" w:rsidP="00B66141">
      <w:pPr>
        <w:rPr>
          <w:rFonts w:ascii="Calibri" w:hAnsi="Calibri" w:cs="Calibri"/>
          <w:sz w:val="22"/>
          <w:szCs w:val="22"/>
        </w:rPr>
      </w:pPr>
      <w:r w:rsidRPr="008C21AB">
        <w:rPr>
          <w:rFonts w:ascii="Calibri" w:hAnsi="Calibri" w:cs="Calibri"/>
          <w:b/>
          <w:bCs/>
          <w:color w:val="0070C0"/>
          <w:sz w:val="22"/>
          <w:szCs w:val="22"/>
        </w:rPr>
        <w:t>A</w:t>
      </w:r>
      <w:r w:rsidRPr="008C21AB">
        <w:rPr>
          <w:rFonts w:ascii="Calibri" w:hAnsi="Calibri" w:cs="Calibri"/>
          <w:sz w:val="22"/>
          <w:szCs w:val="22"/>
        </w:rPr>
        <w:t xml:space="preserve">: </w:t>
      </w:r>
      <w:r w:rsidR="000D1C10" w:rsidRPr="008C21AB">
        <w:rPr>
          <w:rFonts w:ascii="Calibri" w:hAnsi="Calibri" w:cs="Calibri"/>
          <w:sz w:val="22"/>
          <w:szCs w:val="22"/>
        </w:rPr>
        <w:t xml:space="preserve">Yes.  </w:t>
      </w:r>
    </w:p>
    <w:p w14:paraId="0DBED499" w14:textId="6CEEA1FC" w:rsidR="00660482" w:rsidRPr="008C21AB" w:rsidRDefault="00660482" w:rsidP="00B66141">
      <w:pPr>
        <w:rPr>
          <w:rFonts w:ascii="Calibri" w:hAnsi="Calibri" w:cs="Calibri"/>
          <w:sz w:val="22"/>
          <w:szCs w:val="22"/>
        </w:rPr>
      </w:pPr>
    </w:p>
    <w:p w14:paraId="19C9276D" w14:textId="40C3F302" w:rsidR="00660482" w:rsidRPr="008C21AB" w:rsidRDefault="00166C2A" w:rsidP="00B66141">
      <w:pPr>
        <w:rPr>
          <w:rFonts w:ascii="Calibri" w:hAnsi="Calibri" w:cs="Calibri"/>
          <w:sz w:val="22"/>
          <w:szCs w:val="22"/>
        </w:rPr>
      </w:pPr>
      <w:r w:rsidRPr="008C21AB">
        <w:rPr>
          <w:rFonts w:ascii="Calibri" w:hAnsi="Calibri" w:cs="Calibri"/>
          <w:b/>
          <w:bCs/>
          <w:color w:val="FF0000"/>
          <w:sz w:val="22"/>
          <w:szCs w:val="22"/>
        </w:rPr>
        <w:t>Q:</w:t>
      </w:r>
      <w:r w:rsidRPr="008C21AB">
        <w:rPr>
          <w:rFonts w:ascii="Calibri" w:hAnsi="Calibri" w:cs="Calibri"/>
          <w:color w:val="FF0000"/>
          <w:sz w:val="22"/>
          <w:szCs w:val="22"/>
        </w:rPr>
        <w:t xml:space="preserve"> </w:t>
      </w:r>
      <w:r w:rsidR="00900FA0" w:rsidRPr="008C21AB">
        <w:rPr>
          <w:rFonts w:ascii="Calibri" w:hAnsi="Calibri" w:cs="Calibri"/>
          <w:sz w:val="22"/>
          <w:szCs w:val="22"/>
        </w:rPr>
        <w:t xml:space="preserve">Can </w:t>
      </w:r>
      <w:r w:rsidR="00F8222A">
        <w:rPr>
          <w:rFonts w:ascii="Calibri" w:hAnsi="Calibri" w:cs="Calibri"/>
          <w:sz w:val="22"/>
          <w:szCs w:val="22"/>
        </w:rPr>
        <w:t xml:space="preserve">a </w:t>
      </w:r>
      <w:r w:rsidR="00900FA0" w:rsidRPr="008C21AB">
        <w:rPr>
          <w:rFonts w:ascii="Calibri" w:hAnsi="Calibri" w:cs="Calibri"/>
          <w:sz w:val="22"/>
          <w:szCs w:val="22"/>
        </w:rPr>
        <w:t>LEA</w:t>
      </w:r>
      <w:r w:rsidR="00365466">
        <w:rPr>
          <w:rFonts w:ascii="Calibri" w:hAnsi="Calibri" w:cs="Calibri"/>
          <w:sz w:val="22"/>
          <w:szCs w:val="22"/>
        </w:rPr>
        <w:t xml:space="preserve"> </w:t>
      </w:r>
      <w:r w:rsidR="00F8222A">
        <w:rPr>
          <w:rFonts w:ascii="Calibri" w:hAnsi="Calibri" w:cs="Calibri"/>
          <w:sz w:val="22"/>
          <w:szCs w:val="22"/>
        </w:rPr>
        <w:t>approach</w:t>
      </w:r>
      <w:r w:rsidR="00900FA0" w:rsidRPr="008C21AB">
        <w:rPr>
          <w:rFonts w:ascii="Calibri" w:hAnsi="Calibri" w:cs="Calibri"/>
          <w:sz w:val="22"/>
          <w:szCs w:val="22"/>
        </w:rPr>
        <w:t xml:space="preserve"> another institution</w:t>
      </w:r>
      <w:r w:rsidR="00F8222A">
        <w:rPr>
          <w:rFonts w:ascii="Calibri" w:hAnsi="Calibri" w:cs="Calibri"/>
          <w:sz w:val="22"/>
          <w:szCs w:val="22"/>
        </w:rPr>
        <w:t xml:space="preserve"> if their local institution does not approve an employee?</w:t>
      </w:r>
    </w:p>
    <w:p w14:paraId="619F60EE" w14:textId="49B52E02" w:rsidR="00660482" w:rsidRPr="008C21AB" w:rsidRDefault="00166C2A" w:rsidP="00B66141">
      <w:pPr>
        <w:rPr>
          <w:rFonts w:ascii="Calibri" w:hAnsi="Calibri" w:cs="Calibri"/>
          <w:sz w:val="22"/>
          <w:szCs w:val="22"/>
        </w:rPr>
      </w:pPr>
      <w:r w:rsidRPr="008C21AB">
        <w:rPr>
          <w:rFonts w:ascii="Calibri" w:hAnsi="Calibri" w:cs="Calibri"/>
          <w:b/>
          <w:bCs/>
          <w:color w:val="0070C0"/>
          <w:sz w:val="22"/>
          <w:szCs w:val="22"/>
        </w:rPr>
        <w:t>A</w:t>
      </w:r>
      <w:r w:rsidRPr="008C21AB">
        <w:rPr>
          <w:rFonts w:ascii="Calibri" w:hAnsi="Calibri" w:cs="Calibri"/>
          <w:sz w:val="22"/>
          <w:szCs w:val="22"/>
        </w:rPr>
        <w:t xml:space="preserve">: </w:t>
      </w:r>
      <w:r w:rsidR="00365466">
        <w:rPr>
          <w:rFonts w:ascii="Calibri" w:hAnsi="Calibri" w:cs="Calibri"/>
          <w:sz w:val="22"/>
          <w:szCs w:val="22"/>
        </w:rPr>
        <w:t xml:space="preserve"> </w:t>
      </w:r>
      <w:r w:rsidR="00774427">
        <w:rPr>
          <w:rFonts w:ascii="Calibri" w:hAnsi="Calibri" w:cs="Calibri"/>
          <w:sz w:val="22"/>
          <w:szCs w:val="22"/>
        </w:rPr>
        <w:t>Yes, However, please note t</w:t>
      </w:r>
      <w:r w:rsidR="00F8222A">
        <w:rPr>
          <w:rFonts w:ascii="Calibri" w:hAnsi="Calibri" w:cs="Calibri"/>
          <w:sz w:val="22"/>
          <w:szCs w:val="22"/>
        </w:rPr>
        <w:t>he statutory requirement of a master’s degree or 18 graduate credits in the discipline for non-CTE courses applies to all USHE institutions.  However, institutions may, for a number of reasons, have different acceptable qualifying experiences</w:t>
      </w:r>
      <w:r w:rsidR="00F43B93">
        <w:rPr>
          <w:rFonts w:ascii="Calibri" w:hAnsi="Calibri" w:cs="Calibri"/>
          <w:sz w:val="22"/>
          <w:szCs w:val="22"/>
        </w:rPr>
        <w:t xml:space="preserve"> for </w:t>
      </w:r>
      <w:r w:rsidR="00774427">
        <w:rPr>
          <w:rFonts w:ascii="Calibri" w:hAnsi="Calibri" w:cs="Calibri"/>
          <w:sz w:val="22"/>
          <w:szCs w:val="22"/>
        </w:rPr>
        <w:t>all CE</w:t>
      </w:r>
      <w:r w:rsidR="00F43B93">
        <w:rPr>
          <w:rFonts w:ascii="Calibri" w:hAnsi="Calibri" w:cs="Calibri"/>
          <w:sz w:val="22"/>
          <w:szCs w:val="22"/>
        </w:rPr>
        <w:t xml:space="preserve"> courses as well as different </w:t>
      </w:r>
      <w:r w:rsidR="00774427">
        <w:rPr>
          <w:rFonts w:ascii="Calibri" w:hAnsi="Calibri" w:cs="Calibri"/>
          <w:sz w:val="22"/>
          <w:szCs w:val="22"/>
        </w:rPr>
        <w:t>industry standards for CTE courses</w:t>
      </w:r>
      <w:r w:rsidR="00F8222A">
        <w:rPr>
          <w:rFonts w:ascii="Calibri" w:hAnsi="Calibri" w:cs="Calibri"/>
          <w:sz w:val="22"/>
          <w:szCs w:val="22"/>
        </w:rPr>
        <w:t xml:space="preserve">. </w:t>
      </w:r>
      <w:r w:rsidR="00774427">
        <w:rPr>
          <w:rFonts w:ascii="Calibri" w:hAnsi="Calibri" w:cs="Calibri"/>
          <w:sz w:val="22"/>
          <w:szCs w:val="22"/>
        </w:rPr>
        <w:t xml:space="preserve">Acceptable </w:t>
      </w:r>
      <w:r w:rsidR="00365466">
        <w:rPr>
          <w:rFonts w:ascii="Calibri" w:hAnsi="Calibri" w:cs="Calibri"/>
          <w:sz w:val="22"/>
          <w:szCs w:val="22"/>
        </w:rPr>
        <w:t>qualifying</w:t>
      </w:r>
      <w:r w:rsidR="00F43B93">
        <w:rPr>
          <w:rFonts w:ascii="Calibri" w:hAnsi="Calibri" w:cs="Calibri"/>
          <w:sz w:val="22"/>
          <w:szCs w:val="22"/>
        </w:rPr>
        <w:t xml:space="preserve"> experience</w:t>
      </w:r>
      <w:r w:rsidR="00774427">
        <w:rPr>
          <w:rFonts w:ascii="Calibri" w:hAnsi="Calibri" w:cs="Calibri"/>
          <w:sz w:val="22"/>
          <w:szCs w:val="22"/>
        </w:rPr>
        <w:t xml:space="preserve"> at one USHE institution is not transferrable to another institution.  </w:t>
      </w:r>
      <w:r w:rsidR="00F43B93">
        <w:rPr>
          <w:rFonts w:ascii="Calibri" w:hAnsi="Calibri" w:cs="Calibri"/>
          <w:sz w:val="22"/>
          <w:szCs w:val="22"/>
        </w:rPr>
        <w:t xml:space="preserve"> </w:t>
      </w:r>
    </w:p>
    <w:p w14:paraId="1D33D5B4" w14:textId="689A27CA" w:rsidR="00900FA0" w:rsidRPr="008C21AB" w:rsidRDefault="00900FA0" w:rsidP="00B66141">
      <w:pPr>
        <w:rPr>
          <w:rFonts w:ascii="Calibri" w:hAnsi="Calibri" w:cs="Calibri"/>
          <w:sz w:val="22"/>
          <w:szCs w:val="22"/>
        </w:rPr>
      </w:pPr>
    </w:p>
    <w:p w14:paraId="7CF56292" w14:textId="317A74FE" w:rsidR="00900FA0" w:rsidRPr="008C21AB" w:rsidRDefault="00166C2A" w:rsidP="00B66141">
      <w:pPr>
        <w:rPr>
          <w:rFonts w:ascii="Calibri" w:hAnsi="Calibri" w:cs="Calibri"/>
          <w:sz w:val="22"/>
          <w:szCs w:val="22"/>
        </w:rPr>
      </w:pPr>
      <w:r w:rsidRPr="008C21AB">
        <w:rPr>
          <w:rFonts w:ascii="Calibri" w:hAnsi="Calibri" w:cs="Calibri"/>
          <w:b/>
          <w:bCs/>
          <w:color w:val="FF0000"/>
          <w:sz w:val="22"/>
          <w:szCs w:val="22"/>
        </w:rPr>
        <w:t>Q:</w:t>
      </w:r>
      <w:r w:rsidRPr="008C21AB">
        <w:rPr>
          <w:rFonts w:ascii="Calibri" w:hAnsi="Calibri" w:cs="Calibri"/>
          <w:color w:val="FF0000"/>
          <w:sz w:val="22"/>
          <w:szCs w:val="22"/>
        </w:rPr>
        <w:t xml:space="preserve"> </w:t>
      </w:r>
      <w:r w:rsidR="0041556E" w:rsidRPr="008C21AB">
        <w:rPr>
          <w:rFonts w:ascii="Calibri" w:hAnsi="Calibri" w:cs="Calibri"/>
          <w:sz w:val="22"/>
          <w:szCs w:val="22"/>
        </w:rPr>
        <w:t xml:space="preserve">What if the instructor’s master’s degree was in a “related field” but not the actual field required by the IHE? (i.e., </w:t>
      </w:r>
      <w:r w:rsidRPr="008C21AB">
        <w:rPr>
          <w:rFonts w:ascii="Calibri" w:hAnsi="Calibri" w:cs="Calibri"/>
          <w:sz w:val="22"/>
          <w:szCs w:val="22"/>
        </w:rPr>
        <w:t>a master’s</w:t>
      </w:r>
      <w:r w:rsidR="0041556E" w:rsidRPr="008C21AB">
        <w:rPr>
          <w:rFonts w:ascii="Calibri" w:hAnsi="Calibri" w:cs="Calibri"/>
          <w:sz w:val="22"/>
          <w:szCs w:val="22"/>
        </w:rPr>
        <w:t xml:space="preserve"> degree in Teaching of the Discipline rather than in the Discipline.</w:t>
      </w:r>
    </w:p>
    <w:p w14:paraId="7617329C" w14:textId="652DCF75" w:rsidR="00900FA0" w:rsidRPr="008C21AB" w:rsidRDefault="00166C2A" w:rsidP="00B66141">
      <w:pPr>
        <w:rPr>
          <w:rFonts w:ascii="Calibri" w:hAnsi="Calibri" w:cs="Calibri"/>
          <w:sz w:val="22"/>
          <w:szCs w:val="22"/>
        </w:rPr>
      </w:pPr>
      <w:r w:rsidRPr="008C21AB">
        <w:rPr>
          <w:rFonts w:ascii="Calibri" w:hAnsi="Calibri" w:cs="Calibri"/>
          <w:b/>
          <w:bCs/>
          <w:color w:val="0070C0"/>
          <w:sz w:val="22"/>
          <w:szCs w:val="22"/>
        </w:rPr>
        <w:t>A</w:t>
      </w:r>
      <w:r w:rsidRPr="008C21AB">
        <w:rPr>
          <w:rFonts w:ascii="Calibri" w:hAnsi="Calibri" w:cs="Calibri"/>
          <w:sz w:val="22"/>
          <w:szCs w:val="22"/>
        </w:rPr>
        <w:t xml:space="preserve">: </w:t>
      </w:r>
      <w:r w:rsidR="0041556E" w:rsidRPr="008C21AB">
        <w:rPr>
          <w:rFonts w:ascii="Calibri" w:hAnsi="Calibri" w:cs="Calibri"/>
          <w:sz w:val="22"/>
          <w:szCs w:val="22"/>
        </w:rPr>
        <w:t>If the graduate transcripts show at least 18 credit hours in the discipline itself, the instructor will have met eligibility per state law.</w:t>
      </w:r>
    </w:p>
    <w:p w14:paraId="504DE58D" w14:textId="576C3607" w:rsidR="0041556E" w:rsidRPr="008C21AB" w:rsidRDefault="0041556E" w:rsidP="00B66141">
      <w:pPr>
        <w:rPr>
          <w:rFonts w:ascii="Calibri" w:hAnsi="Calibri" w:cs="Calibri"/>
          <w:sz w:val="22"/>
          <w:szCs w:val="22"/>
        </w:rPr>
      </w:pPr>
    </w:p>
    <w:p w14:paraId="6D618248" w14:textId="77777777" w:rsidR="0041556E" w:rsidRPr="008C21AB" w:rsidRDefault="0041556E" w:rsidP="00B66141">
      <w:pPr>
        <w:rPr>
          <w:rFonts w:ascii="Calibri" w:hAnsi="Calibri" w:cs="Calibri"/>
          <w:b/>
          <w:bCs/>
          <w:sz w:val="22"/>
          <w:szCs w:val="22"/>
        </w:rPr>
      </w:pPr>
    </w:p>
    <w:sectPr w:rsidR="0041556E" w:rsidRPr="008C21AB" w:rsidSect="002E22F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E0ABF" w14:textId="77777777" w:rsidR="00F23A27" w:rsidRDefault="00F23A27" w:rsidP="00396BD2">
      <w:r>
        <w:separator/>
      </w:r>
    </w:p>
  </w:endnote>
  <w:endnote w:type="continuationSeparator" w:id="0">
    <w:p w14:paraId="5667975C" w14:textId="77777777" w:rsidR="00F23A27" w:rsidRDefault="00F23A27" w:rsidP="00396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23CC6" w14:textId="77777777" w:rsidR="00396BD2" w:rsidRDefault="00396B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53B63" w14:textId="77777777" w:rsidR="00396BD2" w:rsidRDefault="00396B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FDC55" w14:textId="77777777" w:rsidR="00396BD2" w:rsidRDefault="00396B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EDA08" w14:textId="77777777" w:rsidR="00F23A27" w:rsidRDefault="00F23A27" w:rsidP="00396BD2">
      <w:r>
        <w:separator/>
      </w:r>
    </w:p>
  </w:footnote>
  <w:footnote w:type="continuationSeparator" w:id="0">
    <w:p w14:paraId="32F162D4" w14:textId="77777777" w:rsidR="00F23A27" w:rsidRDefault="00F23A27" w:rsidP="00396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A9E96" w14:textId="2B27C396" w:rsidR="00396BD2" w:rsidRDefault="00396B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6E8A1" w14:textId="2F87141B" w:rsidR="00396BD2" w:rsidRDefault="00396B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08806" w14:textId="677C6B28" w:rsidR="00396BD2" w:rsidRDefault="00396B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120DF"/>
    <w:multiLevelType w:val="hybridMultilevel"/>
    <w:tmpl w:val="762E272E"/>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135CD"/>
    <w:multiLevelType w:val="hybridMultilevel"/>
    <w:tmpl w:val="07BE41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1842A9"/>
    <w:multiLevelType w:val="hybridMultilevel"/>
    <w:tmpl w:val="253E4858"/>
    <w:lvl w:ilvl="0" w:tplc="58145168">
      <w:start w:val="1"/>
      <w:numFmt w:val="decimal"/>
      <w:lvlText w:val="%1."/>
      <w:lvlJc w:val="left"/>
      <w:pPr>
        <w:ind w:left="360" w:hanging="360"/>
      </w:pPr>
      <w:rPr>
        <w:rFonts w:hint="default"/>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81F0632"/>
    <w:multiLevelType w:val="hybridMultilevel"/>
    <w:tmpl w:val="1E980248"/>
    <w:lvl w:ilvl="0" w:tplc="728E1C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4E033E"/>
    <w:multiLevelType w:val="hybridMultilevel"/>
    <w:tmpl w:val="847E427C"/>
    <w:lvl w:ilvl="0" w:tplc="8FE241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5AA1529"/>
    <w:multiLevelType w:val="hybridMultilevel"/>
    <w:tmpl w:val="17E2871E"/>
    <w:lvl w:ilvl="0" w:tplc="982C4A18">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7E5A6D"/>
    <w:multiLevelType w:val="hybridMultilevel"/>
    <w:tmpl w:val="8C24D6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C23D4D"/>
    <w:multiLevelType w:val="hybridMultilevel"/>
    <w:tmpl w:val="C22481F0"/>
    <w:lvl w:ilvl="0" w:tplc="982C4A18">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C70A4C"/>
    <w:multiLevelType w:val="hybridMultilevel"/>
    <w:tmpl w:val="80ACA9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370AC6"/>
    <w:multiLevelType w:val="hybridMultilevel"/>
    <w:tmpl w:val="E6C0E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BF3799"/>
    <w:multiLevelType w:val="hybridMultilevel"/>
    <w:tmpl w:val="56AC7CA4"/>
    <w:lvl w:ilvl="0" w:tplc="982C4A18">
      <w:start w:val="1"/>
      <w:numFmt w:val="decimal"/>
      <w:lvlText w:val="%1."/>
      <w:lvlJc w:val="left"/>
      <w:pPr>
        <w:ind w:left="720" w:hanging="72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589152E"/>
    <w:multiLevelType w:val="hybridMultilevel"/>
    <w:tmpl w:val="CB1A25E8"/>
    <w:lvl w:ilvl="0" w:tplc="982C4A18">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530D72"/>
    <w:multiLevelType w:val="hybridMultilevel"/>
    <w:tmpl w:val="89D641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121886"/>
    <w:multiLevelType w:val="hybridMultilevel"/>
    <w:tmpl w:val="066CA5D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9"/>
  </w:num>
  <w:num w:numId="3">
    <w:abstractNumId w:val="11"/>
  </w:num>
  <w:num w:numId="4">
    <w:abstractNumId w:val="10"/>
  </w:num>
  <w:num w:numId="5">
    <w:abstractNumId w:val="7"/>
  </w:num>
  <w:num w:numId="6">
    <w:abstractNumId w:val="0"/>
  </w:num>
  <w:num w:numId="7">
    <w:abstractNumId w:val="8"/>
  </w:num>
  <w:num w:numId="8">
    <w:abstractNumId w:val="6"/>
  </w:num>
  <w:num w:numId="9">
    <w:abstractNumId w:val="5"/>
  </w:num>
  <w:num w:numId="10">
    <w:abstractNumId w:val="13"/>
  </w:num>
  <w:num w:numId="11">
    <w:abstractNumId w:val="4"/>
  </w:num>
  <w:num w:numId="12">
    <w:abstractNumId w:val="3"/>
  </w:num>
  <w:num w:numId="13">
    <w:abstractNumId w:val="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1C9"/>
    <w:rsid w:val="000023CA"/>
    <w:rsid w:val="000703DC"/>
    <w:rsid w:val="00082FBA"/>
    <w:rsid w:val="000D1C10"/>
    <w:rsid w:val="000F39E5"/>
    <w:rsid w:val="00145012"/>
    <w:rsid w:val="00165034"/>
    <w:rsid w:val="00166C2A"/>
    <w:rsid w:val="0016778C"/>
    <w:rsid w:val="00185472"/>
    <w:rsid w:val="001866AA"/>
    <w:rsid w:val="00197A8A"/>
    <w:rsid w:val="001E38D9"/>
    <w:rsid w:val="00263355"/>
    <w:rsid w:val="00283E40"/>
    <w:rsid w:val="002E22F8"/>
    <w:rsid w:val="00331E52"/>
    <w:rsid w:val="00365466"/>
    <w:rsid w:val="00380B9A"/>
    <w:rsid w:val="003844F8"/>
    <w:rsid w:val="00396BD2"/>
    <w:rsid w:val="003E7D16"/>
    <w:rsid w:val="003F49EE"/>
    <w:rsid w:val="0041556E"/>
    <w:rsid w:val="00436FBB"/>
    <w:rsid w:val="004511B1"/>
    <w:rsid w:val="004B25FD"/>
    <w:rsid w:val="00503F12"/>
    <w:rsid w:val="005776A9"/>
    <w:rsid w:val="00623DE1"/>
    <w:rsid w:val="00660482"/>
    <w:rsid w:val="00681DBA"/>
    <w:rsid w:val="00744BC9"/>
    <w:rsid w:val="00774427"/>
    <w:rsid w:val="007C0DD6"/>
    <w:rsid w:val="007E724C"/>
    <w:rsid w:val="00815948"/>
    <w:rsid w:val="00855F12"/>
    <w:rsid w:val="00885A8F"/>
    <w:rsid w:val="008A0012"/>
    <w:rsid w:val="008B3517"/>
    <w:rsid w:val="008C21AB"/>
    <w:rsid w:val="008C3007"/>
    <w:rsid w:val="008C3B1D"/>
    <w:rsid w:val="00900FA0"/>
    <w:rsid w:val="00913D11"/>
    <w:rsid w:val="0094185E"/>
    <w:rsid w:val="0096783B"/>
    <w:rsid w:val="009A3758"/>
    <w:rsid w:val="00AE7B68"/>
    <w:rsid w:val="00B01DA1"/>
    <w:rsid w:val="00B2790D"/>
    <w:rsid w:val="00B66141"/>
    <w:rsid w:val="00BE14B6"/>
    <w:rsid w:val="00C44AFF"/>
    <w:rsid w:val="00C46A53"/>
    <w:rsid w:val="00CA36C3"/>
    <w:rsid w:val="00CA506D"/>
    <w:rsid w:val="00CE0DE1"/>
    <w:rsid w:val="00CE1A04"/>
    <w:rsid w:val="00D46A9E"/>
    <w:rsid w:val="00E01AFA"/>
    <w:rsid w:val="00E2013C"/>
    <w:rsid w:val="00E222D5"/>
    <w:rsid w:val="00E6481F"/>
    <w:rsid w:val="00E748EB"/>
    <w:rsid w:val="00EE742E"/>
    <w:rsid w:val="00F23A27"/>
    <w:rsid w:val="00F335B5"/>
    <w:rsid w:val="00F43B93"/>
    <w:rsid w:val="00F641C9"/>
    <w:rsid w:val="00F770B9"/>
    <w:rsid w:val="00F8222A"/>
    <w:rsid w:val="00F948B9"/>
    <w:rsid w:val="00F96EFB"/>
    <w:rsid w:val="00FC34A5"/>
    <w:rsid w:val="00FF5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2FCCE"/>
  <w15:chartTrackingRefBased/>
  <w15:docId w15:val="{403C2AB1-695E-F94E-B543-819DD4342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B25FD"/>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41C9"/>
    <w:pPr>
      <w:ind w:left="720"/>
      <w:contextualSpacing/>
    </w:pPr>
    <w:rPr>
      <w:rFonts w:asciiTheme="minorHAnsi" w:hAnsiTheme="minorHAnsi" w:cstheme="minorBidi"/>
    </w:rPr>
  </w:style>
  <w:style w:type="paragraph" w:styleId="NormalWeb">
    <w:name w:val="Normal (Web)"/>
    <w:basedOn w:val="Normal"/>
    <w:uiPriority w:val="99"/>
    <w:unhideWhenUsed/>
    <w:rsid w:val="00744BC9"/>
    <w:pPr>
      <w:spacing w:before="100" w:beforeAutospacing="1" w:after="100" w:afterAutospacing="1"/>
    </w:pPr>
    <w:rPr>
      <w:rFonts w:eastAsia="Times New Roman"/>
    </w:rPr>
  </w:style>
  <w:style w:type="character" w:styleId="Strong">
    <w:name w:val="Strong"/>
    <w:basedOn w:val="DefaultParagraphFont"/>
    <w:uiPriority w:val="22"/>
    <w:qFormat/>
    <w:rsid w:val="00744BC9"/>
    <w:rPr>
      <w:b/>
      <w:bCs/>
    </w:rPr>
  </w:style>
  <w:style w:type="table" w:styleId="TableGrid">
    <w:name w:val="Table Grid"/>
    <w:basedOn w:val="TableNormal"/>
    <w:uiPriority w:val="39"/>
    <w:rsid w:val="00165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E72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724C"/>
    <w:rPr>
      <w:rFonts w:ascii="Segoe UI" w:hAnsi="Segoe UI" w:cs="Segoe UI"/>
      <w:sz w:val="18"/>
      <w:szCs w:val="18"/>
    </w:rPr>
  </w:style>
  <w:style w:type="character" w:styleId="CommentReference">
    <w:name w:val="annotation reference"/>
    <w:basedOn w:val="DefaultParagraphFont"/>
    <w:uiPriority w:val="99"/>
    <w:semiHidden/>
    <w:unhideWhenUsed/>
    <w:rsid w:val="001E38D9"/>
    <w:rPr>
      <w:sz w:val="16"/>
      <w:szCs w:val="16"/>
    </w:rPr>
  </w:style>
  <w:style w:type="paragraph" w:styleId="CommentText">
    <w:name w:val="annotation text"/>
    <w:basedOn w:val="Normal"/>
    <w:link w:val="CommentTextChar"/>
    <w:uiPriority w:val="99"/>
    <w:semiHidden/>
    <w:unhideWhenUsed/>
    <w:rsid w:val="001E38D9"/>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1E38D9"/>
    <w:rPr>
      <w:sz w:val="20"/>
      <w:szCs w:val="20"/>
    </w:rPr>
  </w:style>
  <w:style w:type="paragraph" w:styleId="CommentSubject">
    <w:name w:val="annotation subject"/>
    <w:basedOn w:val="CommentText"/>
    <w:next w:val="CommentText"/>
    <w:link w:val="CommentSubjectChar"/>
    <w:uiPriority w:val="99"/>
    <w:semiHidden/>
    <w:unhideWhenUsed/>
    <w:rsid w:val="001E38D9"/>
    <w:rPr>
      <w:b/>
      <w:bCs/>
    </w:rPr>
  </w:style>
  <w:style w:type="character" w:customStyle="1" w:styleId="CommentSubjectChar">
    <w:name w:val="Comment Subject Char"/>
    <w:basedOn w:val="CommentTextChar"/>
    <w:link w:val="CommentSubject"/>
    <w:uiPriority w:val="99"/>
    <w:semiHidden/>
    <w:rsid w:val="001E38D9"/>
    <w:rPr>
      <w:b/>
      <w:bCs/>
      <w:sz w:val="20"/>
      <w:szCs w:val="20"/>
    </w:rPr>
  </w:style>
  <w:style w:type="paragraph" w:styleId="Revision">
    <w:name w:val="Revision"/>
    <w:hidden/>
    <w:uiPriority w:val="99"/>
    <w:semiHidden/>
    <w:rsid w:val="008C21AB"/>
    <w:rPr>
      <w:rFonts w:ascii="Times New Roman" w:hAnsi="Times New Roman" w:cs="Times New Roman"/>
    </w:rPr>
  </w:style>
  <w:style w:type="paragraph" w:styleId="Header">
    <w:name w:val="header"/>
    <w:basedOn w:val="Normal"/>
    <w:link w:val="HeaderChar"/>
    <w:uiPriority w:val="99"/>
    <w:unhideWhenUsed/>
    <w:rsid w:val="00396BD2"/>
    <w:pPr>
      <w:tabs>
        <w:tab w:val="center" w:pos="4680"/>
        <w:tab w:val="right" w:pos="9360"/>
      </w:tabs>
    </w:pPr>
  </w:style>
  <w:style w:type="character" w:customStyle="1" w:styleId="HeaderChar">
    <w:name w:val="Header Char"/>
    <w:basedOn w:val="DefaultParagraphFont"/>
    <w:link w:val="Header"/>
    <w:uiPriority w:val="99"/>
    <w:rsid w:val="00396BD2"/>
    <w:rPr>
      <w:rFonts w:ascii="Times New Roman" w:hAnsi="Times New Roman" w:cs="Times New Roman"/>
    </w:rPr>
  </w:style>
  <w:style w:type="paragraph" w:styleId="Footer">
    <w:name w:val="footer"/>
    <w:basedOn w:val="Normal"/>
    <w:link w:val="FooterChar"/>
    <w:uiPriority w:val="99"/>
    <w:unhideWhenUsed/>
    <w:rsid w:val="00396BD2"/>
    <w:pPr>
      <w:tabs>
        <w:tab w:val="center" w:pos="4680"/>
        <w:tab w:val="right" w:pos="9360"/>
      </w:tabs>
    </w:pPr>
  </w:style>
  <w:style w:type="character" w:customStyle="1" w:styleId="FooterChar">
    <w:name w:val="Footer Char"/>
    <w:basedOn w:val="DefaultParagraphFont"/>
    <w:link w:val="Footer"/>
    <w:uiPriority w:val="99"/>
    <w:rsid w:val="00396BD2"/>
    <w:rPr>
      <w:rFonts w:ascii="Times New Roman" w:hAnsi="Times New Roman" w:cs="Times New Roman"/>
    </w:rPr>
  </w:style>
  <w:style w:type="paragraph" w:customStyle="1" w:styleId="xmsonormal">
    <w:name w:val="x_msonormal"/>
    <w:basedOn w:val="Normal"/>
    <w:rsid w:val="00BE14B6"/>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619119">
      <w:bodyDiv w:val="1"/>
      <w:marLeft w:val="0"/>
      <w:marRight w:val="0"/>
      <w:marTop w:val="0"/>
      <w:marBottom w:val="0"/>
      <w:divBdr>
        <w:top w:val="none" w:sz="0" w:space="0" w:color="auto"/>
        <w:left w:val="none" w:sz="0" w:space="0" w:color="auto"/>
        <w:bottom w:val="none" w:sz="0" w:space="0" w:color="auto"/>
        <w:right w:val="none" w:sz="0" w:space="0" w:color="auto"/>
      </w:divBdr>
    </w:div>
    <w:div w:id="349766952">
      <w:bodyDiv w:val="1"/>
      <w:marLeft w:val="0"/>
      <w:marRight w:val="0"/>
      <w:marTop w:val="0"/>
      <w:marBottom w:val="0"/>
      <w:divBdr>
        <w:top w:val="none" w:sz="0" w:space="0" w:color="auto"/>
        <w:left w:val="none" w:sz="0" w:space="0" w:color="auto"/>
        <w:bottom w:val="none" w:sz="0" w:space="0" w:color="auto"/>
        <w:right w:val="none" w:sz="0" w:space="0" w:color="auto"/>
      </w:divBdr>
    </w:div>
    <w:div w:id="668752969">
      <w:bodyDiv w:val="1"/>
      <w:marLeft w:val="0"/>
      <w:marRight w:val="0"/>
      <w:marTop w:val="0"/>
      <w:marBottom w:val="0"/>
      <w:divBdr>
        <w:top w:val="none" w:sz="0" w:space="0" w:color="auto"/>
        <w:left w:val="none" w:sz="0" w:space="0" w:color="auto"/>
        <w:bottom w:val="none" w:sz="0" w:space="0" w:color="auto"/>
        <w:right w:val="none" w:sz="0" w:space="0" w:color="auto"/>
      </w:divBdr>
    </w:div>
    <w:div w:id="782531006">
      <w:bodyDiv w:val="1"/>
      <w:marLeft w:val="0"/>
      <w:marRight w:val="0"/>
      <w:marTop w:val="0"/>
      <w:marBottom w:val="0"/>
      <w:divBdr>
        <w:top w:val="none" w:sz="0" w:space="0" w:color="auto"/>
        <w:left w:val="none" w:sz="0" w:space="0" w:color="auto"/>
        <w:bottom w:val="none" w:sz="0" w:space="0" w:color="auto"/>
        <w:right w:val="none" w:sz="0" w:space="0" w:color="auto"/>
      </w:divBdr>
    </w:div>
    <w:div w:id="1021203769">
      <w:bodyDiv w:val="1"/>
      <w:marLeft w:val="0"/>
      <w:marRight w:val="0"/>
      <w:marTop w:val="0"/>
      <w:marBottom w:val="0"/>
      <w:divBdr>
        <w:top w:val="none" w:sz="0" w:space="0" w:color="auto"/>
        <w:left w:val="none" w:sz="0" w:space="0" w:color="auto"/>
        <w:bottom w:val="none" w:sz="0" w:space="0" w:color="auto"/>
        <w:right w:val="none" w:sz="0" w:space="0" w:color="auto"/>
      </w:divBdr>
    </w:div>
    <w:div w:id="1064137313">
      <w:bodyDiv w:val="1"/>
      <w:marLeft w:val="0"/>
      <w:marRight w:val="0"/>
      <w:marTop w:val="0"/>
      <w:marBottom w:val="0"/>
      <w:divBdr>
        <w:top w:val="none" w:sz="0" w:space="0" w:color="auto"/>
        <w:left w:val="none" w:sz="0" w:space="0" w:color="auto"/>
        <w:bottom w:val="none" w:sz="0" w:space="0" w:color="auto"/>
        <w:right w:val="none" w:sz="0" w:space="0" w:color="auto"/>
      </w:divBdr>
    </w:div>
    <w:div w:id="1657688951">
      <w:bodyDiv w:val="1"/>
      <w:marLeft w:val="0"/>
      <w:marRight w:val="0"/>
      <w:marTop w:val="0"/>
      <w:marBottom w:val="0"/>
      <w:divBdr>
        <w:top w:val="none" w:sz="0" w:space="0" w:color="auto"/>
        <w:left w:val="none" w:sz="0" w:space="0" w:color="auto"/>
        <w:bottom w:val="none" w:sz="0" w:space="0" w:color="auto"/>
        <w:right w:val="none" w:sz="0" w:space="0" w:color="auto"/>
      </w:divBdr>
    </w:div>
    <w:div w:id="1856112692">
      <w:bodyDiv w:val="1"/>
      <w:marLeft w:val="0"/>
      <w:marRight w:val="0"/>
      <w:marTop w:val="0"/>
      <w:marBottom w:val="0"/>
      <w:divBdr>
        <w:top w:val="none" w:sz="0" w:space="0" w:color="auto"/>
        <w:left w:val="none" w:sz="0" w:space="0" w:color="auto"/>
        <w:bottom w:val="none" w:sz="0" w:space="0" w:color="auto"/>
        <w:right w:val="none" w:sz="0" w:space="0" w:color="auto"/>
      </w:divBdr>
    </w:div>
    <w:div w:id="1958830683">
      <w:bodyDiv w:val="1"/>
      <w:marLeft w:val="0"/>
      <w:marRight w:val="0"/>
      <w:marTop w:val="0"/>
      <w:marBottom w:val="0"/>
      <w:divBdr>
        <w:top w:val="none" w:sz="0" w:space="0" w:color="auto"/>
        <w:left w:val="none" w:sz="0" w:space="0" w:color="auto"/>
        <w:bottom w:val="none" w:sz="0" w:space="0" w:color="auto"/>
        <w:right w:val="none" w:sz="0" w:space="0" w:color="auto"/>
      </w:divBdr>
    </w:div>
    <w:div w:id="206035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335B9-E117-A24E-A563-FD95B6F9D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3</Pages>
  <Words>1184</Words>
  <Characters>6752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Cynthia Grua</cp:lastModifiedBy>
  <cp:revision>17</cp:revision>
  <dcterms:created xsi:type="dcterms:W3CDTF">2020-05-26T15:44:00Z</dcterms:created>
  <dcterms:modified xsi:type="dcterms:W3CDTF">2022-03-01T19:22:00Z</dcterms:modified>
</cp:coreProperties>
</file>