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9"/>
        <w:gridCol w:w="5845"/>
      </w:tblGrid>
      <w:tr w:rsidR="00CC17D6" w:rsidRPr="00CC17D6" w14:paraId="14565DB3" w14:textId="77777777" w:rsidTr="00CC17D6">
        <w:trPr>
          <w:trHeight w:val="540"/>
        </w:trPr>
        <w:tc>
          <w:tcPr>
            <w:tcW w:w="3585" w:type="dxa"/>
            <w:vMerge w:val="restart"/>
            <w:tcBorders>
              <w:top w:val="single" w:sz="6" w:space="0" w:color="5B9BD5"/>
              <w:left w:val="single" w:sz="6" w:space="0" w:color="5B9BD5"/>
              <w:bottom w:val="single" w:sz="6" w:space="0" w:color="5B9BD5"/>
              <w:right w:val="nil"/>
            </w:tcBorders>
            <w:shd w:val="clear" w:color="auto" w:fill="5B9BD5"/>
            <w:hideMark/>
          </w:tcPr>
          <w:p w14:paraId="744DF8C0" w14:textId="03FB1914" w:rsidR="00CC17D6" w:rsidRPr="00CC17D6" w:rsidRDefault="00CC17D6" w:rsidP="008241C7">
            <w:pPr>
              <w:spacing w:after="0" w:line="240" w:lineRule="auto"/>
              <w:jc w:val="center"/>
              <w:textAlignment w:val="baseline"/>
              <w:rPr>
                <w:rFonts w:ascii="Times New Roman" w:eastAsia="Times New Roman" w:hAnsi="Times New Roman" w:cs="Times New Roman"/>
                <w:b/>
                <w:bCs/>
                <w:color w:val="FFFFFF"/>
                <w:sz w:val="24"/>
                <w:szCs w:val="24"/>
              </w:rPr>
            </w:pPr>
            <w:r w:rsidRPr="00CC17D6">
              <w:rPr>
                <w:rFonts w:ascii="Calibri" w:eastAsia="Times New Roman" w:hAnsi="Calibri" w:cs="Calibri"/>
                <w:b/>
                <w:bCs/>
                <w:color w:val="FFFFFF"/>
                <w:sz w:val="16"/>
                <w:szCs w:val="16"/>
              </w:rPr>
              <w:t> </w:t>
            </w:r>
            <w:r w:rsidR="008241C7" w:rsidRPr="00CC17D6">
              <w:rPr>
                <w:noProof/>
              </w:rPr>
              <w:drawing>
                <wp:inline distT="0" distB="0" distL="0" distR="0" wp14:anchorId="52FDB89B" wp14:editId="6A9FEFD1">
                  <wp:extent cx="2012950" cy="7556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0" cy="755650"/>
                          </a:xfrm>
                          <a:prstGeom prst="rect">
                            <a:avLst/>
                          </a:prstGeom>
                          <a:noFill/>
                          <a:ln>
                            <a:noFill/>
                          </a:ln>
                        </pic:spPr>
                      </pic:pic>
                    </a:graphicData>
                  </a:graphic>
                </wp:inline>
              </w:drawing>
            </w:r>
          </w:p>
        </w:tc>
        <w:tc>
          <w:tcPr>
            <w:tcW w:w="7185" w:type="dxa"/>
            <w:tcBorders>
              <w:top w:val="single" w:sz="6" w:space="0" w:color="5B9BD5"/>
              <w:left w:val="nil"/>
              <w:bottom w:val="single" w:sz="6" w:space="0" w:color="5B9BD5"/>
              <w:right w:val="single" w:sz="6" w:space="0" w:color="5B9BD5"/>
            </w:tcBorders>
            <w:shd w:val="clear" w:color="auto" w:fill="5B9BD5"/>
            <w:hideMark/>
          </w:tcPr>
          <w:p w14:paraId="6E4CD363" w14:textId="79F13F9F" w:rsidR="00CC17D6" w:rsidRPr="00CC17D6" w:rsidRDefault="008241C7" w:rsidP="008241C7">
            <w:pPr>
              <w:spacing w:after="0" w:line="240" w:lineRule="auto"/>
              <w:textAlignment w:val="baseline"/>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 xml:space="preserve"> </w:t>
            </w:r>
            <w:r w:rsidR="00CC17D6" w:rsidRPr="00CC17D6">
              <w:rPr>
                <w:rFonts w:ascii="Times New Roman" w:eastAsia="Times New Roman" w:hAnsi="Times New Roman" w:cs="Times New Roman"/>
                <w:b/>
                <w:bCs/>
                <w:color w:val="FFFFFF"/>
                <w:sz w:val="24"/>
                <w:szCs w:val="24"/>
              </w:rPr>
              <w:t>Thayne Center</w:t>
            </w:r>
            <w:r>
              <w:rPr>
                <w:rFonts w:ascii="Times New Roman" w:eastAsia="Times New Roman" w:hAnsi="Times New Roman" w:cs="Times New Roman"/>
                <w:b/>
                <w:bCs/>
                <w:color w:val="FFFFFF"/>
                <w:sz w:val="24"/>
                <w:szCs w:val="24"/>
              </w:rPr>
              <w:t xml:space="preserve"> </w:t>
            </w:r>
            <w:r w:rsidR="00CC17D6" w:rsidRPr="00CC17D6">
              <w:rPr>
                <w:rFonts w:ascii="Times New Roman" w:eastAsia="Times New Roman" w:hAnsi="Times New Roman" w:cs="Times New Roman"/>
                <w:b/>
                <w:bCs/>
                <w:color w:val="FFFFFF"/>
                <w:sz w:val="24"/>
                <w:szCs w:val="24"/>
              </w:rPr>
              <w:t>for Student Life, Leadership, &amp; Community Engagement </w:t>
            </w:r>
          </w:p>
        </w:tc>
      </w:tr>
      <w:tr w:rsidR="00CC17D6" w:rsidRPr="00CC17D6" w14:paraId="72715C59" w14:textId="77777777" w:rsidTr="008241C7">
        <w:trPr>
          <w:trHeight w:val="138"/>
        </w:trPr>
        <w:tc>
          <w:tcPr>
            <w:tcW w:w="0" w:type="auto"/>
            <w:vMerge/>
            <w:tcBorders>
              <w:top w:val="single" w:sz="6" w:space="0" w:color="5B9BD5"/>
              <w:left w:val="single" w:sz="6" w:space="0" w:color="5B9BD5"/>
              <w:bottom w:val="single" w:sz="6" w:space="0" w:color="5B9BD5"/>
              <w:right w:val="nil"/>
            </w:tcBorders>
            <w:shd w:val="clear" w:color="auto" w:fill="auto"/>
            <w:vAlign w:val="center"/>
            <w:hideMark/>
          </w:tcPr>
          <w:p w14:paraId="505562AF" w14:textId="77777777" w:rsidR="00CC17D6" w:rsidRPr="00CC17D6" w:rsidRDefault="00CC17D6" w:rsidP="00CC17D6">
            <w:pPr>
              <w:spacing w:after="0" w:line="240" w:lineRule="auto"/>
              <w:rPr>
                <w:rFonts w:ascii="Times New Roman" w:eastAsia="Times New Roman" w:hAnsi="Times New Roman" w:cs="Times New Roman"/>
                <w:b/>
                <w:bCs/>
                <w:color w:val="FFFFFF"/>
                <w:sz w:val="24"/>
                <w:szCs w:val="24"/>
              </w:rPr>
            </w:pPr>
          </w:p>
        </w:tc>
        <w:tc>
          <w:tcPr>
            <w:tcW w:w="7185" w:type="dxa"/>
            <w:tcBorders>
              <w:top w:val="single" w:sz="6" w:space="0" w:color="9CC2E5"/>
              <w:left w:val="single" w:sz="6" w:space="0" w:color="9CC2E5"/>
              <w:bottom w:val="single" w:sz="6" w:space="0" w:color="9CC2E5"/>
              <w:right w:val="single" w:sz="6" w:space="0" w:color="9CC2E5"/>
            </w:tcBorders>
            <w:shd w:val="clear" w:color="auto" w:fill="DEEAF6"/>
            <w:hideMark/>
          </w:tcPr>
          <w:p w14:paraId="6D97C51A" w14:textId="14C01924" w:rsidR="00CC17D6" w:rsidRPr="00CC17D6" w:rsidRDefault="008241C7" w:rsidP="008241C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C17D6" w:rsidRPr="00CC17D6">
              <w:rPr>
                <w:rFonts w:ascii="Times New Roman" w:eastAsia="Times New Roman" w:hAnsi="Times New Roman" w:cs="Times New Roman"/>
                <w:sz w:val="24"/>
                <w:szCs w:val="24"/>
              </w:rPr>
              <w:t xml:space="preserve">2022 </w:t>
            </w:r>
            <w:r w:rsidR="003C40C2" w:rsidRPr="008241C7">
              <w:rPr>
                <w:rFonts w:ascii="Times New Roman" w:eastAsia="Times New Roman" w:hAnsi="Times New Roman" w:cs="Times New Roman"/>
                <w:sz w:val="24"/>
                <w:szCs w:val="24"/>
              </w:rPr>
              <w:t>–</w:t>
            </w:r>
            <w:r w:rsidR="00CC17D6" w:rsidRPr="00CC17D6">
              <w:rPr>
                <w:rFonts w:ascii="Times New Roman" w:eastAsia="Times New Roman" w:hAnsi="Times New Roman" w:cs="Times New Roman"/>
                <w:sz w:val="24"/>
                <w:szCs w:val="24"/>
              </w:rPr>
              <w:t xml:space="preserve"> 2023</w:t>
            </w:r>
            <w:r>
              <w:rPr>
                <w:rFonts w:ascii="Times New Roman" w:eastAsia="Times New Roman" w:hAnsi="Times New Roman" w:cs="Times New Roman"/>
                <w:sz w:val="24"/>
                <w:szCs w:val="24"/>
              </w:rPr>
              <w:t xml:space="preserve"> </w:t>
            </w:r>
            <w:r w:rsidR="00CC17D6" w:rsidRPr="00CC17D6">
              <w:rPr>
                <w:rFonts w:ascii="Times New Roman" w:eastAsia="Times New Roman" w:hAnsi="Times New Roman" w:cs="Times New Roman"/>
                <w:sz w:val="24"/>
                <w:szCs w:val="24"/>
              </w:rPr>
              <w:t>ANNUAL ASSESSMENT</w:t>
            </w:r>
          </w:p>
        </w:tc>
      </w:tr>
    </w:tbl>
    <w:p w14:paraId="01F0A8EA" w14:textId="77777777" w:rsidR="00CC17D6" w:rsidRPr="00CC17D6" w:rsidRDefault="00CC17D6" w:rsidP="00CC17D6">
      <w:pPr>
        <w:spacing w:after="0" w:line="240" w:lineRule="auto"/>
        <w:textAlignment w:val="baseline"/>
        <w:rPr>
          <w:rFonts w:ascii="Segoe UI" w:eastAsia="Times New Roman" w:hAnsi="Segoe UI" w:cs="Segoe UI"/>
          <w:sz w:val="18"/>
          <w:szCs w:val="18"/>
        </w:rPr>
      </w:pPr>
      <w:r w:rsidRPr="00CC17D6">
        <w:rPr>
          <w:rFonts w:ascii="Calibri" w:eastAsia="Times New Roman" w:hAnsi="Calibri" w:cs="Calibri"/>
        </w:rPr>
        <w:t> </w:t>
      </w:r>
    </w:p>
    <w:p w14:paraId="1544ACE7" w14:textId="77777777" w:rsidR="00CC17D6" w:rsidRDefault="00CC17D6" w:rsidP="00CC17D6">
      <w:pPr>
        <w:spacing w:after="0" w:line="240" w:lineRule="auto"/>
        <w:textAlignment w:val="baseline"/>
        <w:rPr>
          <w:rFonts w:ascii="Calibri Light" w:eastAsia="Times New Roman" w:hAnsi="Calibri Light" w:cs="Calibri Light"/>
          <w:color w:val="2F5496"/>
          <w:sz w:val="32"/>
          <w:szCs w:val="32"/>
        </w:rPr>
      </w:pPr>
      <w:r w:rsidRPr="00CC17D6">
        <w:rPr>
          <w:rFonts w:ascii="Calibri Light" w:eastAsia="Times New Roman" w:hAnsi="Calibri Light" w:cs="Calibri Light"/>
          <w:color w:val="2F5496"/>
          <w:sz w:val="32"/>
          <w:szCs w:val="32"/>
        </w:rPr>
        <w:t>Project Title</w:t>
      </w:r>
    </w:p>
    <w:p w14:paraId="79AEE6B8" w14:textId="52A412FD" w:rsidR="00CC17D6" w:rsidRDefault="00FB6369" w:rsidP="00135B01">
      <w:pPr>
        <w:spacing w:after="0" w:line="240" w:lineRule="auto"/>
        <w:textAlignment w:val="baseline"/>
        <w:rPr>
          <w:rFonts w:ascii="Segoe UI" w:eastAsia="Times New Roman" w:hAnsi="Segoe UI" w:cs="Segoe UI"/>
          <w:color w:val="2F5496"/>
          <w:sz w:val="18"/>
          <w:szCs w:val="18"/>
        </w:rPr>
      </w:pPr>
      <w:r>
        <w:rPr>
          <w:rFonts w:ascii="Calibri" w:eastAsia="Times New Roman" w:hAnsi="Calibri" w:cs="Calibri"/>
        </w:rPr>
        <w:t xml:space="preserve">Change in </w:t>
      </w:r>
      <w:r w:rsidR="00CC17D6" w:rsidRPr="00CC17D6">
        <w:rPr>
          <w:rFonts w:ascii="Calibri" w:eastAsia="Times New Roman" w:hAnsi="Calibri" w:cs="Calibri"/>
        </w:rPr>
        <w:t>Bruin Pantry Usa</w:t>
      </w:r>
      <w:r w:rsidR="00135B01">
        <w:rPr>
          <w:rFonts w:ascii="Calibri" w:eastAsia="Times New Roman" w:hAnsi="Calibri" w:cs="Calibri"/>
        </w:rPr>
        <w:t>ge, October 2019 to April 2023</w:t>
      </w:r>
    </w:p>
    <w:p w14:paraId="5B1D8992" w14:textId="77777777" w:rsidR="000E670C" w:rsidRPr="000E670C" w:rsidRDefault="000E670C" w:rsidP="000E670C">
      <w:pPr>
        <w:spacing w:after="0" w:line="240" w:lineRule="auto"/>
        <w:ind w:firstLine="720"/>
        <w:textAlignment w:val="baseline"/>
        <w:rPr>
          <w:rFonts w:ascii="Segoe UI" w:eastAsia="Times New Roman" w:hAnsi="Segoe UI" w:cs="Segoe UI"/>
          <w:color w:val="2F5496"/>
          <w:sz w:val="18"/>
          <w:szCs w:val="18"/>
        </w:rPr>
      </w:pPr>
    </w:p>
    <w:p w14:paraId="411A6BD0" w14:textId="6A527DBF" w:rsidR="00CC17D6" w:rsidRPr="00CC17D6" w:rsidRDefault="00CC17D6" w:rsidP="00CC17D6">
      <w:pPr>
        <w:spacing w:after="0" w:line="240" w:lineRule="auto"/>
        <w:textAlignment w:val="baseline"/>
        <w:rPr>
          <w:rFonts w:ascii="Segoe UI" w:eastAsia="Times New Roman" w:hAnsi="Segoe UI" w:cs="Segoe UI"/>
          <w:color w:val="2F5496"/>
          <w:sz w:val="18"/>
          <w:szCs w:val="18"/>
        </w:rPr>
      </w:pPr>
      <w:r w:rsidRPr="00CC17D6">
        <w:rPr>
          <w:rFonts w:ascii="Calibri Light" w:eastAsia="Times New Roman" w:hAnsi="Calibri Light" w:cs="Calibri Light"/>
          <w:color w:val="2F5496"/>
          <w:sz w:val="32"/>
          <w:szCs w:val="32"/>
        </w:rPr>
        <w:t>College-wide Strategic Goal </w:t>
      </w:r>
    </w:p>
    <w:p w14:paraId="2DA6F3E0" w14:textId="77777777" w:rsidR="00CC17D6" w:rsidRPr="00CC17D6" w:rsidRDefault="00CC17D6" w:rsidP="00135B01">
      <w:pPr>
        <w:spacing w:after="0" w:line="240" w:lineRule="auto"/>
        <w:textAlignment w:val="baseline"/>
        <w:rPr>
          <w:rFonts w:ascii="Segoe UI" w:eastAsia="Times New Roman" w:hAnsi="Segoe UI" w:cs="Segoe UI"/>
          <w:sz w:val="18"/>
          <w:szCs w:val="18"/>
        </w:rPr>
      </w:pPr>
      <w:r w:rsidRPr="00CC17D6">
        <w:rPr>
          <w:rFonts w:ascii="Calibri" w:eastAsia="Times New Roman" w:hAnsi="Calibri" w:cs="Calibri"/>
        </w:rPr>
        <w:t>Strategy No. 6 – Emerging HSI </w:t>
      </w:r>
    </w:p>
    <w:p w14:paraId="79BD32CB" w14:textId="72268A89" w:rsidR="00CC17D6" w:rsidRDefault="00CC17D6" w:rsidP="00135B01">
      <w:pPr>
        <w:spacing w:after="0" w:line="240" w:lineRule="auto"/>
        <w:textAlignment w:val="baseline"/>
        <w:rPr>
          <w:rFonts w:ascii="Segoe UI" w:eastAsia="Times New Roman" w:hAnsi="Segoe UI" w:cs="Segoe UI"/>
          <w:sz w:val="18"/>
          <w:szCs w:val="18"/>
        </w:rPr>
      </w:pPr>
      <w:r w:rsidRPr="00CC17D6">
        <w:rPr>
          <w:rFonts w:ascii="Calibri" w:eastAsia="Times New Roman" w:hAnsi="Calibri" w:cs="Calibri"/>
        </w:rPr>
        <w:t>Strategy No. 9 – Increase College Participation </w:t>
      </w:r>
    </w:p>
    <w:p w14:paraId="76A91400" w14:textId="77777777" w:rsidR="000E670C" w:rsidRPr="000E670C" w:rsidRDefault="000E670C" w:rsidP="000E670C">
      <w:pPr>
        <w:spacing w:after="0" w:line="240" w:lineRule="auto"/>
        <w:ind w:left="720"/>
        <w:textAlignment w:val="baseline"/>
        <w:rPr>
          <w:rFonts w:ascii="Segoe UI" w:eastAsia="Times New Roman" w:hAnsi="Segoe UI" w:cs="Segoe UI"/>
          <w:sz w:val="18"/>
          <w:szCs w:val="18"/>
        </w:rPr>
      </w:pPr>
    </w:p>
    <w:p w14:paraId="4421E73B" w14:textId="14D63BB4" w:rsidR="00CC17D6" w:rsidRPr="00CC17D6" w:rsidRDefault="00CC17D6" w:rsidP="00CC17D6">
      <w:pPr>
        <w:spacing w:after="0" w:line="240" w:lineRule="auto"/>
        <w:textAlignment w:val="baseline"/>
        <w:rPr>
          <w:rFonts w:ascii="Segoe UI" w:eastAsia="Times New Roman" w:hAnsi="Segoe UI" w:cs="Segoe UI"/>
          <w:color w:val="2F5496"/>
          <w:sz w:val="18"/>
          <w:szCs w:val="18"/>
        </w:rPr>
      </w:pPr>
      <w:r w:rsidRPr="00CC17D6">
        <w:rPr>
          <w:rFonts w:ascii="Calibri Light" w:eastAsia="Times New Roman" w:hAnsi="Calibri Light" w:cs="Calibri Light"/>
          <w:color w:val="2F5496"/>
          <w:sz w:val="32"/>
          <w:szCs w:val="32"/>
        </w:rPr>
        <w:t>Assessment Overview </w:t>
      </w:r>
    </w:p>
    <w:p w14:paraId="0AF4A942" w14:textId="49E7F4BA" w:rsidR="00CC17D6" w:rsidRPr="00687090" w:rsidRDefault="002A22DD" w:rsidP="00135B01">
      <w:pPr>
        <w:spacing w:after="0" w:line="240" w:lineRule="auto"/>
        <w:textAlignment w:val="baseline"/>
        <w:rPr>
          <w:rFonts w:ascii="Calibri" w:eastAsia="Times New Roman" w:hAnsi="Calibri" w:cs="Calibri"/>
          <w:i/>
          <w:iCs/>
        </w:rPr>
      </w:pPr>
      <w:r>
        <w:rPr>
          <w:rFonts w:ascii="Calibri" w:eastAsia="Times New Roman" w:hAnsi="Calibri" w:cs="Calibri"/>
        </w:rPr>
        <w:t>Recent</w:t>
      </w:r>
      <w:r w:rsidR="00B317CF">
        <w:rPr>
          <w:rFonts w:ascii="Calibri" w:eastAsia="Times New Roman" w:hAnsi="Calibri" w:cs="Calibri"/>
        </w:rPr>
        <w:t xml:space="preserve"> and rapid </w:t>
      </w:r>
      <w:r w:rsidR="00315F5C">
        <w:rPr>
          <w:rFonts w:ascii="Calibri" w:eastAsia="Times New Roman" w:hAnsi="Calibri" w:cs="Calibri"/>
        </w:rPr>
        <w:t xml:space="preserve">increases in </w:t>
      </w:r>
      <w:r>
        <w:rPr>
          <w:rFonts w:ascii="Calibri" w:eastAsia="Times New Roman" w:hAnsi="Calibri" w:cs="Calibri"/>
        </w:rPr>
        <w:t xml:space="preserve">Bruin Pantry </w:t>
      </w:r>
      <w:r w:rsidR="00315F5C">
        <w:rPr>
          <w:rFonts w:ascii="Calibri" w:eastAsia="Times New Roman" w:hAnsi="Calibri" w:cs="Calibri"/>
        </w:rPr>
        <w:t xml:space="preserve">use </w:t>
      </w:r>
      <w:r w:rsidR="00CC17D6" w:rsidRPr="00CC17D6">
        <w:rPr>
          <w:rFonts w:ascii="Calibri" w:eastAsia="Times New Roman" w:hAnsi="Calibri" w:cs="Calibri"/>
        </w:rPr>
        <w:t>c</w:t>
      </w:r>
      <w:r w:rsidR="00DA6084">
        <w:rPr>
          <w:rFonts w:ascii="Calibri" w:eastAsia="Times New Roman" w:hAnsi="Calibri" w:cs="Calibri"/>
        </w:rPr>
        <w:t xml:space="preserve">orrelates with </w:t>
      </w:r>
      <w:r w:rsidR="00562BE5">
        <w:rPr>
          <w:rFonts w:ascii="Calibri" w:eastAsia="Times New Roman" w:hAnsi="Calibri" w:cs="Calibri"/>
        </w:rPr>
        <w:t xml:space="preserve">increased </w:t>
      </w:r>
      <w:r w:rsidR="003C4EF8">
        <w:rPr>
          <w:rFonts w:ascii="Calibri" w:eastAsia="Times New Roman" w:hAnsi="Calibri" w:cs="Calibri"/>
        </w:rPr>
        <w:t xml:space="preserve">community </w:t>
      </w:r>
      <w:r w:rsidR="00562BE5">
        <w:rPr>
          <w:rFonts w:ascii="Calibri" w:eastAsia="Times New Roman" w:hAnsi="Calibri" w:cs="Calibri"/>
        </w:rPr>
        <w:t>nee</w:t>
      </w:r>
      <w:r w:rsidR="003C4EF8">
        <w:rPr>
          <w:rFonts w:ascii="Calibri" w:eastAsia="Times New Roman" w:hAnsi="Calibri" w:cs="Calibri"/>
        </w:rPr>
        <w:t>d like</w:t>
      </w:r>
      <w:r w:rsidR="00135B01">
        <w:rPr>
          <w:rFonts w:ascii="Calibri" w:eastAsia="Times New Roman" w:hAnsi="Calibri" w:cs="Calibri"/>
        </w:rPr>
        <w:t xml:space="preserve"> </w:t>
      </w:r>
      <w:r w:rsidR="00CC17D6" w:rsidRPr="00CC17D6">
        <w:rPr>
          <w:rFonts w:ascii="Calibri" w:eastAsia="Times New Roman" w:hAnsi="Calibri" w:cs="Calibri"/>
        </w:rPr>
        <w:t>rising cost of living in the Salt Lake valley</w:t>
      </w:r>
      <w:r w:rsidR="001D61D6">
        <w:rPr>
          <w:rFonts w:ascii="Calibri" w:eastAsia="Times New Roman" w:hAnsi="Calibri" w:cs="Calibri"/>
        </w:rPr>
        <w:t xml:space="preserve">, </w:t>
      </w:r>
      <w:r w:rsidR="00CC17D6" w:rsidRPr="00CC17D6">
        <w:rPr>
          <w:rFonts w:ascii="Calibri" w:eastAsia="Times New Roman" w:hAnsi="Calibri" w:cs="Calibri"/>
        </w:rPr>
        <w:t>rent and gas price increases, stagnant wages</w:t>
      </w:r>
      <w:r w:rsidR="00DC0E81">
        <w:rPr>
          <w:rFonts w:ascii="Calibri" w:eastAsia="Times New Roman" w:hAnsi="Calibri" w:cs="Calibri"/>
        </w:rPr>
        <w:t>, etc.</w:t>
      </w:r>
      <w:r w:rsidR="00CC17D6" w:rsidRPr="00CC17D6">
        <w:rPr>
          <w:rFonts w:ascii="Calibri" w:eastAsia="Times New Roman" w:hAnsi="Calibri" w:cs="Calibri"/>
        </w:rPr>
        <w:t xml:space="preserve">  In response to these </w:t>
      </w:r>
      <w:r w:rsidR="00C243EE">
        <w:rPr>
          <w:rFonts w:ascii="Calibri" w:eastAsia="Times New Roman" w:hAnsi="Calibri" w:cs="Calibri"/>
        </w:rPr>
        <w:t>compounding factors</w:t>
      </w:r>
      <w:r w:rsidR="00CC17D6" w:rsidRPr="00CC17D6">
        <w:rPr>
          <w:rFonts w:ascii="Calibri" w:eastAsia="Times New Roman" w:hAnsi="Calibri" w:cs="Calibri"/>
        </w:rPr>
        <w:t xml:space="preserve">, Thayne Center has increased partnerships with community organizations to stock pantries and </w:t>
      </w:r>
      <w:r w:rsidR="002600D2">
        <w:rPr>
          <w:rFonts w:ascii="Calibri" w:eastAsia="Times New Roman" w:hAnsi="Calibri" w:cs="Calibri"/>
        </w:rPr>
        <w:t>substantial</w:t>
      </w:r>
      <w:r w:rsidR="00B04A9E">
        <w:rPr>
          <w:rFonts w:ascii="Calibri" w:eastAsia="Times New Roman" w:hAnsi="Calibri" w:cs="Calibri"/>
        </w:rPr>
        <w:t>ly</w:t>
      </w:r>
      <w:r w:rsidR="002600D2">
        <w:rPr>
          <w:rFonts w:ascii="Calibri" w:eastAsia="Times New Roman" w:hAnsi="Calibri" w:cs="Calibri"/>
        </w:rPr>
        <w:t xml:space="preserve"> re</w:t>
      </w:r>
      <w:r w:rsidR="003E45F5">
        <w:rPr>
          <w:rFonts w:ascii="Calibri" w:eastAsia="Times New Roman" w:hAnsi="Calibri" w:cs="Calibri"/>
        </w:rPr>
        <w:t>focused</w:t>
      </w:r>
      <w:r w:rsidR="002600D2">
        <w:rPr>
          <w:rFonts w:ascii="Calibri" w:eastAsia="Times New Roman" w:hAnsi="Calibri" w:cs="Calibri"/>
        </w:rPr>
        <w:t xml:space="preserve"> student fee dollars to address staffing needs and </w:t>
      </w:r>
      <w:r w:rsidR="00CC17D6" w:rsidRPr="00CC17D6">
        <w:rPr>
          <w:rFonts w:ascii="Calibri" w:eastAsia="Times New Roman" w:hAnsi="Calibri" w:cs="Calibri"/>
        </w:rPr>
        <w:t>supplement</w:t>
      </w:r>
      <w:r w:rsidR="002600D2">
        <w:rPr>
          <w:rFonts w:ascii="Calibri" w:eastAsia="Times New Roman" w:hAnsi="Calibri" w:cs="Calibri"/>
        </w:rPr>
        <w:t xml:space="preserve"> food and hygiene products.  </w:t>
      </w:r>
      <w:r w:rsidR="00E42C2D">
        <w:rPr>
          <w:rFonts w:ascii="Calibri" w:eastAsia="Times New Roman" w:hAnsi="Calibri" w:cs="Calibri"/>
        </w:rPr>
        <w:t>While addressing these necessary changes</w:t>
      </w:r>
      <w:r w:rsidR="001C641C">
        <w:rPr>
          <w:rFonts w:ascii="Calibri" w:eastAsia="Times New Roman" w:hAnsi="Calibri" w:cs="Calibri"/>
        </w:rPr>
        <w:t xml:space="preserve">, Thayne Center has </w:t>
      </w:r>
      <w:r w:rsidR="00E42C2D">
        <w:rPr>
          <w:rFonts w:ascii="Calibri" w:eastAsia="Times New Roman" w:hAnsi="Calibri" w:cs="Calibri"/>
        </w:rPr>
        <w:t>made cultural changes</w:t>
      </w:r>
      <w:r w:rsidR="0081368A">
        <w:rPr>
          <w:rFonts w:ascii="Calibri" w:eastAsia="Times New Roman" w:hAnsi="Calibri" w:cs="Calibri"/>
        </w:rPr>
        <w:t xml:space="preserve"> to</w:t>
      </w:r>
      <w:r w:rsidR="001C641C">
        <w:rPr>
          <w:rFonts w:ascii="Calibri" w:eastAsia="Times New Roman" w:hAnsi="Calibri" w:cs="Calibri"/>
        </w:rPr>
        <w:t xml:space="preserve"> improve its service to</w:t>
      </w:r>
      <w:r w:rsidR="006541C3">
        <w:rPr>
          <w:rFonts w:ascii="Calibri" w:eastAsia="Times New Roman" w:hAnsi="Calibri" w:cs="Calibri"/>
        </w:rPr>
        <w:t xml:space="preserve"> students </w:t>
      </w:r>
      <w:r w:rsidR="00E42C2D">
        <w:rPr>
          <w:rFonts w:ascii="Calibri" w:eastAsia="Times New Roman" w:hAnsi="Calibri" w:cs="Calibri"/>
        </w:rPr>
        <w:t>of color.</w:t>
      </w:r>
      <w:r w:rsidR="00FB4649">
        <w:rPr>
          <w:rFonts w:ascii="Calibri" w:eastAsia="Times New Roman" w:hAnsi="Calibri" w:cs="Calibri"/>
        </w:rPr>
        <w:t xml:space="preserve">  </w:t>
      </w:r>
      <w:r w:rsidR="00CC17D6" w:rsidRPr="00CC17D6">
        <w:rPr>
          <w:rFonts w:ascii="Calibri" w:eastAsia="Times New Roman" w:hAnsi="Calibri" w:cs="Calibri"/>
        </w:rPr>
        <w:t>This assessment analyze</w:t>
      </w:r>
      <w:r w:rsidR="00AF2BCD">
        <w:rPr>
          <w:rFonts w:ascii="Calibri" w:eastAsia="Times New Roman" w:hAnsi="Calibri" w:cs="Calibri"/>
        </w:rPr>
        <w:t>s</w:t>
      </w:r>
      <w:r w:rsidR="00927DAE">
        <w:rPr>
          <w:rFonts w:ascii="Calibri" w:eastAsia="Times New Roman" w:hAnsi="Calibri" w:cs="Calibri"/>
        </w:rPr>
        <w:t xml:space="preserve"> newly available data </w:t>
      </w:r>
      <w:r w:rsidR="00392E9C">
        <w:rPr>
          <w:rFonts w:ascii="Calibri" w:eastAsia="Times New Roman" w:hAnsi="Calibri" w:cs="Calibri"/>
        </w:rPr>
        <w:t>to compare changes over the</w:t>
      </w:r>
      <w:r w:rsidR="00927DAE">
        <w:rPr>
          <w:rFonts w:ascii="Calibri" w:eastAsia="Times New Roman" w:hAnsi="Calibri" w:cs="Calibri"/>
        </w:rPr>
        <w:t xml:space="preserve"> past</w:t>
      </w:r>
      <w:r w:rsidR="00CC17D6" w:rsidRPr="00CC17D6">
        <w:rPr>
          <w:rFonts w:ascii="Calibri" w:eastAsia="Times New Roman" w:hAnsi="Calibri" w:cs="Calibri"/>
        </w:rPr>
        <w:t xml:space="preserve"> </w:t>
      </w:r>
      <w:r w:rsidR="00927DAE">
        <w:rPr>
          <w:rFonts w:ascii="Calibri" w:eastAsia="Times New Roman" w:hAnsi="Calibri" w:cs="Calibri"/>
        </w:rPr>
        <w:t>three and half years in the</w:t>
      </w:r>
      <w:r w:rsidR="00CC17D6" w:rsidRPr="00CC17D6">
        <w:rPr>
          <w:rFonts w:ascii="Calibri" w:eastAsia="Times New Roman" w:hAnsi="Calibri" w:cs="Calibri"/>
        </w:rPr>
        <w:t xml:space="preserve"> </w:t>
      </w:r>
      <w:r w:rsidR="00AF2BCD">
        <w:rPr>
          <w:rFonts w:ascii="Calibri" w:eastAsia="Times New Roman" w:hAnsi="Calibri" w:cs="Calibri"/>
        </w:rPr>
        <w:t>B</w:t>
      </w:r>
      <w:r w:rsidR="00CC17D6" w:rsidRPr="00CC17D6">
        <w:rPr>
          <w:rFonts w:ascii="Calibri" w:eastAsia="Times New Roman" w:hAnsi="Calibri" w:cs="Calibri"/>
        </w:rPr>
        <w:t xml:space="preserve">ruin </w:t>
      </w:r>
      <w:r w:rsidR="00AF2BCD">
        <w:rPr>
          <w:rFonts w:ascii="Calibri" w:eastAsia="Times New Roman" w:hAnsi="Calibri" w:cs="Calibri"/>
        </w:rPr>
        <w:t>P</w:t>
      </w:r>
      <w:r w:rsidR="00CC17D6" w:rsidRPr="00CC17D6">
        <w:rPr>
          <w:rFonts w:ascii="Calibri" w:eastAsia="Times New Roman" w:hAnsi="Calibri" w:cs="Calibri"/>
        </w:rPr>
        <w:t>antry network,</w:t>
      </w:r>
      <w:r w:rsidR="00392E9C">
        <w:rPr>
          <w:rFonts w:ascii="Calibri" w:eastAsia="Times New Roman" w:hAnsi="Calibri" w:cs="Calibri"/>
        </w:rPr>
        <w:t xml:space="preserve"> including</w:t>
      </w:r>
      <w:r w:rsidR="00CC17D6" w:rsidRPr="00CC17D6">
        <w:rPr>
          <w:rFonts w:ascii="Calibri" w:eastAsia="Times New Roman" w:hAnsi="Calibri" w:cs="Calibri"/>
        </w:rPr>
        <w:t xml:space="preserve"> identity-based trends.</w:t>
      </w:r>
      <w:r w:rsidR="00AE22CA">
        <w:rPr>
          <w:rFonts w:ascii="Calibri" w:eastAsia="Times New Roman" w:hAnsi="Calibri" w:cs="Calibri"/>
        </w:rPr>
        <w:t xml:space="preserve">  As a result,</w:t>
      </w:r>
      <w:r w:rsidR="00CC17D6" w:rsidRPr="00CC17D6">
        <w:rPr>
          <w:rFonts w:ascii="Calibri" w:eastAsia="Times New Roman" w:hAnsi="Calibri" w:cs="Calibri"/>
        </w:rPr>
        <w:t xml:space="preserve"> Thayne Center </w:t>
      </w:r>
      <w:r w:rsidR="00AA6563">
        <w:rPr>
          <w:rFonts w:ascii="Calibri" w:eastAsia="Times New Roman" w:hAnsi="Calibri" w:cs="Calibri"/>
        </w:rPr>
        <w:t>find</w:t>
      </w:r>
      <w:r w:rsidR="00AE22CA">
        <w:rPr>
          <w:rFonts w:ascii="Calibri" w:eastAsia="Times New Roman" w:hAnsi="Calibri" w:cs="Calibri"/>
        </w:rPr>
        <w:t>s</w:t>
      </w:r>
      <w:r w:rsidR="00AA6563">
        <w:rPr>
          <w:rFonts w:ascii="Calibri" w:eastAsia="Times New Roman" w:hAnsi="Calibri" w:cs="Calibri"/>
        </w:rPr>
        <w:t xml:space="preserve"> support for its</w:t>
      </w:r>
      <w:r w:rsidR="00AE22CA">
        <w:rPr>
          <w:rFonts w:ascii="Calibri" w:eastAsia="Times New Roman" w:hAnsi="Calibri" w:cs="Calibri"/>
        </w:rPr>
        <w:t xml:space="preserve"> recent efforts</w:t>
      </w:r>
      <w:r w:rsidR="008C1BE0">
        <w:rPr>
          <w:rFonts w:ascii="Calibri" w:eastAsia="Times New Roman" w:hAnsi="Calibri" w:cs="Calibri"/>
        </w:rPr>
        <w:t xml:space="preserve">, </w:t>
      </w:r>
      <w:r w:rsidR="00F20149">
        <w:rPr>
          <w:rFonts w:ascii="Calibri" w:eastAsia="Times New Roman" w:hAnsi="Calibri" w:cs="Calibri"/>
        </w:rPr>
        <w:t xml:space="preserve">presents </w:t>
      </w:r>
      <w:r w:rsidR="007511D8">
        <w:rPr>
          <w:rFonts w:ascii="Calibri" w:eastAsia="Times New Roman" w:hAnsi="Calibri" w:cs="Calibri"/>
        </w:rPr>
        <w:t xml:space="preserve">data-based </w:t>
      </w:r>
      <w:r w:rsidR="007D710D">
        <w:rPr>
          <w:rFonts w:ascii="Calibri" w:eastAsia="Times New Roman" w:hAnsi="Calibri" w:cs="Calibri"/>
        </w:rPr>
        <w:t xml:space="preserve">insights </w:t>
      </w:r>
      <w:r w:rsidR="00F909F7">
        <w:rPr>
          <w:rFonts w:ascii="Calibri" w:eastAsia="Times New Roman" w:hAnsi="Calibri" w:cs="Calibri"/>
        </w:rPr>
        <w:t xml:space="preserve">to </w:t>
      </w:r>
      <w:r w:rsidR="007D710D">
        <w:rPr>
          <w:rFonts w:ascii="Calibri" w:eastAsia="Times New Roman" w:hAnsi="Calibri" w:cs="Calibri"/>
        </w:rPr>
        <w:t>continue</w:t>
      </w:r>
      <w:r w:rsidR="00F909F7">
        <w:rPr>
          <w:rFonts w:ascii="Calibri" w:eastAsia="Times New Roman" w:hAnsi="Calibri" w:cs="Calibri"/>
        </w:rPr>
        <w:t xml:space="preserve"> resource flow toward </w:t>
      </w:r>
      <w:r w:rsidR="005215EA">
        <w:rPr>
          <w:rFonts w:ascii="Calibri" w:eastAsia="Times New Roman" w:hAnsi="Calibri" w:cs="Calibri"/>
        </w:rPr>
        <w:t>the Bruin Pantry</w:t>
      </w:r>
      <w:r w:rsidR="00482B84">
        <w:rPr>
          <w:rFonts w:ascii="Calibri" w:eastAsia="Times New Roman" w:hAnsi="Calibri" w:cs="Calibri"/>
        </w:rPr>
        <w:t xml:space="preserve">, </w:t>
      </w:r>
      <w:r w:rsidR="005215EA">
        <w:rPr>
          <w:rFonts w:ascii="Calibri" w:eastAsia="Times New Roman" w:hAnsi="Calibri" w:cs="Calibri"/>
        </w:rPr>
        <w:t>and</w:t>
      </w:r>
      <w:r w:rsidR="00BE69D9">
        <w:rPr>
          <w:rFonts w:ascii="Calibri" w:eastAsia="Times New Roman" w:hAnsi="Calibri" w:cs="Calibri"/>
        </w:rPr>
        <w:t>, for the first time,</w:t>
      </w:r>
      <w:r w:rsidR="005215EA">
        <w:rPr>
          <w:rFonts w:ascii="Calibri" w:eastAsia="Times New Roman" w:hAnsi="Calibri" w:cs="Calibri"/>
        </w:rPr>
        <w:t xml:space="preserve"> </w:t>
      </w:r>
      <w:r w:rsidR="000F4B5B">
        <w:rPr>
          <w:rFonts w:ascii="Calibri" w:eastAsia="Times New Roman" w:hAnsi="Calibri" w:cs="Calibri"/>
        </w:rPr>
        <w:t xml:space="preserve">speaks directly to </w:t>
      </w:r>
      <w:r w:rsidR="00BE69D9">
        <w:rPr>
          <w:rFonts w:ascii="Calibri" w:eastAsia="Times New Roman" w:hAnsi="Calibri" w:cs="Calibri"/>
        </w:rPr>
        <w:t>visitor demographics</w:t>
      </w:r>
      <w:r w:rsidR="00A46DCF">
        <w:rPr>
          <w:rFonts w:ascii="Calibri" w:eastAsia="Times New Roman" w:hAnsi="Calibri" w:cs="Calibri"/>
        </w:rPr>
        <w:t>.  The report is timely for the institution as it emerges in its HSI work and prepares for</w:t>
      </w:r>
      <w:r w:rsidR="00BE69D9">
        <w:rPr>
          <w:rFonts w:ascii="Calibri" w:eastAsia="Times New Roman" w:hAnsi="Calibri" w:cs="Calibri"/>
        </w:rPr>
        <w:t xml:space="preserve"> a</w:t>
      </w:r>
      <w:r w:rsidR="002600D2" w:rsidRPr="00CC17D6">
        <w:rPr>
          <w:rFonts w:ascii="Calibri" w:eastAsia="Times New Roman" w:hAnsi="Calibri" w:cs="Calibri"/>
        </w:rPr>
        <w:t xml:space="preserve"> fifth pantry location open</w:t>
      </w:r>
      <w:r w:rsidR="00BE69D9">
        <w:rPr>
          <w:rFonts w:ascii="Calibri" w:eastAsia="Times New Roman" w:hAnsi="Calibri" w:cs="Calibri"/>
        </w:rPr>
        <w:t>ing</w:t>
      </w:r>
      <w:r w:rsidR="002600D2" w:rsidRPr="00CC17D6">
        <w:rPr>
          <w:rFonts w:ascii="Calibri" w:eastAsia="Times New Roman" w:hAnsi="Calibri" w:cs="Calibri"/>
        </w:rPr>
        <w:t xml:space="preserve"> at the Herriman </w:t>
      </w:r>
      <w:r w:rsidR="005C55B6">
        <w:rPr>
          <w:rFonts w:ascii="Calibri" w:eastAsia="Times New Roman" w:hAnsi="Calibri" w:cs="Calibri"/>
        </w:rPr>
        <w:t>C</w:t>
      </w:r>
      <w:r w:rsidR="002600D2" w:rsidRPr="00CC17D6">
        <w:rPr>
          <w:rFonts w:ascii="Calibri" w:eastAsia="Times New Roman" w:hAnsi="Calibri" w:cs="Calibri"/>
        </w:rPr>
        <w:t>ampus in Fall 2023.   </w:t>
      </w:r>
      <w:r w:rsidR="00687090">
        <w:rPr>
          <w:rFonts w:ascii="Calibri" w:eastAsia="Times New Roman" w:hAnsi="Calibri" w:cs="Calibri"/>
          <w:i/>
          <w:iCs/>
        </w:rPr>
        <w:t>Special thanks to Institutional Development, who</w:t>
      </w:r>
      <w:r w:rsidR="00A14A1A">
        <w:rPr>
          <w:rFonts w:ascii="Calibri" w:eastAsia="Times New Roman" w:hAnsi="Calibri" w:cs="Calibri"/>
          <w:i/>
          <w:iCs/>
        </w:rPr>
        <w:t>,</w:t>
      </w:r>
      <w:r w:rsidR="00687090">
        <w:rPr>
          <w:rFonts w:ascii="Calibri" w:eastAsia="Times New Roman" w:hAnsi="Calibri" w:cs="Calibri"/>
          <w:i/>
          <w:iCs/>
        </w:rPr>
        <w:t xml:space="preserve"> in partnership with DOMO</w:t>
      </w:r>
      <w:r w:rsidR="00A14A1A">
        <w:rPr>
          <w:rFonts w:ascii="Calibri" w:eastAsia="Times New Roman" w:hAnsi="Calibri" w:cs="Calibri"/>
          <w:i/>
          <w:iCs/>
        </w:rPr>
        <w:t>,</w:t>
      </w:r>
      <w:r w:rsidR="00687090">
        <w:rPr>
          <w:rFonts w:ascii="Calibri" w:eastAsia="Times New Roman" w:hAnsi="Calibri" w:cs="Calibri"/>
          <w:i/>
          <w:iCs/>
        </w:rPr>
        <w:t xml:space="preserve"> made this assessment project possible.</w:t>
      </w:r>
    </w:p>
    <w:p w14:paraId="07587111" w14:textId="77777777" w:rsidR="00482B84" w:rsidRPr="00CC17D6" w:rsidRDefault="00482B84" w:rsidP="00CC17D6">
      <w:pPr>
        <w:spacing w:after="0" w:line="240" w:lineRule="auto"/>
        <w:ind w:left="720"/>
        <w:textAlignment w:val="baseline"/>
        <w:rPr>
          <w:rFonts w:ascii="Segoe UI" w:eastAsia="Times New Roman" w:hAnsi="Segoe UI" w:cs="Segoe UI"/>
          <w:sz w:val="18"/>
          <w:szCs w:val="18"/>
        </w:rPr>
      </w:pPr>
    </w:p>
    <w:p w14:paraId="0F31DD48" w14:textId="0DAEEE21" w:rsidR="00304A22" w:rsidRPr="00CC17D6" w:rsidRDefault="00304A22" w:rsidP="00304A22">
      <w:pPr>
        <w:spacing w:after="0" w:line="240" w:lineRule="auto"/>
        <w:textAlignment w:val="baseline"/>
        <w:rPr>
          <w:rFonts w:ascii="Segoe UI" w:eastAsia="Times New Roman" w:hAnsi="Segoe UI" w:cs="Segoe UI"/>
          <w:color w:val="2F5496"/>
          <w:sz w:val="18"/>
          <w:szCs w:val="18"/>
        </w:rPr>
      </w:pPr>
      <w:r w:rsidRPr="00CC17D6">
        <w:rPr>
          <w:rFonts w:ascii="Calibri Light" w:eastAsia="Times New Roman" w:hAnsi="Calibri Light" w:cs="Calibri Light"/>
          <w:color w:val="2F5496"/>
          <w:sz w:val="32"/>
          <w:szCs w:val="32"/>
        </w:rPr>
        <w:t xml:space="preserve">Assessment </w:t>
      </w:r>
      <w:r>
        <w:rPr>
          <w:rFonts w:ascii="Calibri Light" w:eastAsia="Times New Roman" w:hAnsi="Calibri Light" w:cs="Calibri Light"/>
          <w:color w:val="2F5496"/>
          <w:sz w:val="32"/>
          <w:szCs w:val="32"/>
        </w:rPr>
        <w:t>Questions</w:t>
      </w:r>
      <w:r w:rsidRPr="00CC17D6">
        <w:rPr>
          <w:rFonts w:ascii="Calibri Light" w:eastAsia="Times New Roman" w:hAnsi="Calibri Light" w:cs="Calibri Light"/>
          <w:color w:val="2F5496"/>
          <w:sz w:val="32"/>
          <w:szCs w:val="32"/>
        </w:rPr>
        <w:t> </w:t>
      </w:r>
    </w:p>
    <w:p w14:paraId="431C29B1" w14:textId="77777777" w:rsidR="00CE0995" w:rsidRPr="00296611" w:rsidRDefault="00CC17D6" w:rsidP="00135B01">
      <w:pPr>
        <w:pStyle w:val="ListParagraph"/>
        <w:numPr>
          <w:ilvl w:val="0"/>
          <w:numId w:val="17"/>
        </w:numPr>
        <w:spacing w:after="0" w:line="240" w:lineRule="auto"/>
        <w:ind w:left="360"/>
        <w:textAlignment w:val="baseline"/>
        <w:rPr>
          <w:rFonts w:ascii="Calibri" w:eastAsia="Times New Roman" w:hAnsi="Calibri" w:cs="Calibri"/>
        </w:rPr>
      </w:pPr>
      <w:r w:rsidRPr="00296611">
        <w:rPr>
          <w:rFonts w:ascii="Calibri" w:eastAsia="Times New Roman" w:hAnsi="Calibri" w:cs="Calibri"/>
        </w:rPr>
        <w:t xml:space="preserve">How much has student use of the pantry changed from October 2019 through </w:t>
      </w:r>
      <w:r w:rsidR="00304A22" w:rsidRPr="00296611">
        <w:rPr>
          <w:rFonts w:ascii="Calibri" w:eastAsia="Times New Roman" w:hAnsi="Calibri" w:cs="Calibri"/>
        </w:rPr>
        <w:t>April</w:t>
      </w:r>
      <w:r w:rsidRPr="00296611">
        <w:rPr>
          <w:rFonts w:ascii="Calibri" w:eastAsia="Times New Roman" w:hAnsi="Calibri" w:cs="Calibri"/>
        </w:rPr>
        <w:t xml:space="preserve"> 2023?</w:t>
      </w:r>
    </w:p>
    <w:p w14:paraId="356137AC" w14:textId="38BC71DD" w:rsidR="00304A22" w:rsidRPr="00296611" w:rsidRDefault="00CE0995" w:rsidP="00135B01">
      <w:pPr>
        <w:pStyle w:val="ListParagraph"/>
        <w:numPr>
          <w:ilvl w:val="0"/>
          <w:numId w:val="17"/>
        </w:numPr>
        <w:spacing w:after="0" w:line="240" w:lineRule="auto"/>
        <w:ind w:left="360"/>
        <w:textAlignment w:val="baseline"/>
        <w:rPr>
          <w:rFonts w:ascii="Calibri" w:eastAsia="Times New Roman" w:hAnsi="Calibri" w:cs="Calibri"/>
        </w:rPr>
      </w:pPr>
      <w:r w:rsidRPr="00296611">
        <w:rPr>
          <w:rFonts w:ascii="Calibri" w:eastAsia="Times New Roman" w:hAnsi="Calibri" w:cs="Calibri"/>
        </w:rPr>
        <w:t xml:space="preserve">How </w:t>
      </w:r>
      <w:r w:rsidR="007E4651" w:rsidRPr="00296611">
        <w:rPr>
          <w:rFonts w:ascii="Calibri" w:eastAsia="Times New Roman" w:hAnsi="Calibri" w:cs="Calibri"/>
        </w:rPr>
        <w:t>ha</w:t>
      </w:r>
      <w:r w:rsidR="005F3833" w:rsidRPr="00296611">
        <w:rPr>
          <w:rFonts w:ascii="Calibri" w:eastAsia="Times New Roman" w:hAnsi="Calibri" w:cs="Calibri"/>
        </w:rPr>
        <w:t>ve visitor demographics c</w:t>
      </w:r>
      <w:r w:rsidR="00B05A47" w:rsidRPr="00296611">
        <w:rPr>
          <w:rFonts w:ascii="Calibri" w:eastAsia="Times New Roman" w:hAnsi="Calibri" w:cs="Calibri"/>
        </w:rPr>
        <w:t>hanged over the past 3.5 years</w:t>
      </w:r>
      <w:r w:rsidR="005F3833" w:rsidRPr="00296611">
        <w:rPr>
          <w:rFonts w:ascii="Calibri" w:eastAsia="Times New Roman" w:hAnsi="Calibri" w:cs="Calibri"/>
        </w:rPr>
        <w:t>?</w:t>
      </w:r>
    </w:p>
    <w:p w14:paraId="752CB534" w14:textId="19749FF4" w:rsidR="00135B01" w:rsidRPr="00135B01" w:rsidRDefault="00CC17D6" w:rsidP="00135B01">
      <w:pPr>
        <w:pStyle w:val="ListParagraph"/>
        <w:numPr>
          <w:ilvl w:val="0"/>
          <w:numId w:val="17"/>
        </w:numPr>
        <w:spacing w:after="0" w:line="240" w:lineRule="auto"/>
        <w:ind w:left="360"/>
        <w:textAlignment w:val="baseline"/>
        <w:rPr>
          <w:rFonts w:ascii="Calibri" w:eastAsia="Times New Roman" w:hAnsi="Calibri" w:cs="Calibri"/>
        </w:rPr>
      </w:pPr>
      <w:r w:rsidRPr="00C31BB4">
        <w:rPr>
          <w:rFonts w:ascii="Calibri" w:eastAsia="Times New Roman" w:hAnsi="Calibri" w:cs="Calibri"/>
        </w:rPr>
        <w:t>What are the demographics of current student pantry users? How well does this usage compare with student body demographics?</w:t>
      </w:r>
      <w:r w:rsidRPr="00304A22">
        <w:rPr>
          <w:rFonts w:ascii="Calibri" w:eastAsia="Times New Roman" w:hAnsi="Calibri" w:cs="Calibri"/>
          <w:b/>
          <w:bCs/>
        </w:rPr>
        <w:t xml:space="preserve">  </w:t>
      </w:r>
      <w:r w:rsidRPr="00304A22">
        <w:rPr>
          <w:rFonts w:ascii="Calibri" w:eastAsia="Times New Roman" w:hAnsi="Calibri" w:cs="Calibri"/>
          <w:i/>
          <w:iCs/>
        </w:rPr>
        <w:t>Categories are provided in partnership with Information Technology and are connected to S</w:t>
      </w:r>
      <w:r w:rsidR="00610B5D">
        <w:rPr>
          <w:rFonts w:ascii="Calibri" w:eastAsia="Times New Roman" w:hAnsi="Calibri" w:cs="Calibri"/>
          <w:i/>
          <w:iCs/>
        </w:rPr>
        <w:t>-number</w:t>
      </w:r>
      <w:r w:rsidRPr="00304A22">
        <w:rPr>
          <w:rFonts w:ascii="Calibri" w:eastAsia="Times New Roman" w:hAnsi="Calibri" w:cs="Calibri"/>
          <w:i/>
          <w:iCs/>
        </w:rPr>
        <w:t xml:space="preserve"> and one-card data.</w:t>
      </w:r>
    </w:p>
    <w:p w14:paraId="1CC1E970" w14:textId="77777777" w:rsidR="00135B01" w:rsidRDefault="00CC17D6" w:rsidP="00135B01">
      <w:pPr>
        <w:pStyle w:val="ListParagraph"/>
        <w:numPr>
          <w:ilvl w:val="1"/>
          <w:numId w:val="17"/>
        </w:numPr>
        <w:spacing w:after="0" w:line="240" w:lineRule="auto"/>
        <w:ind w:left="810"/>
        <w:textAlignment w:val="baseline"/>
        <w:rPr>
          <w:rFonts w:ascii="Calibri" w:eastAsia="Times New Roman" w:hAnsi="Calibri" w:cs="Calibri"/>
        </w:rPr>
      </w:pPr>
      <w:r w:rsidRPr="00135B01">
        <w:rPr>
          <w:rFonts w:ascii="Calibri" w:eastAsia="Times New Roman" w:hAnsi="Calibri" w:cs="Calibri"/>
        </w:rPr>
        <w:t>Gender: Male, Female, Neutral </w:t>
      </w:r>
    </w:p>
    <w:p w14:paraId="2F946C36" w14:textId="25C56FC2" w:rsidR="00135B01" w:rsidRDefault="00CC17D6" w:rsidP="00135B01">
      <w:pPr>
        <w:pStyle w:val="ListParagraph"/>
        <w:numPr>
          <w:ilvl w:val="1"/>
          <w:numId w:val="17"/>
        </w:numPr>
        <w:spacing w:after="0" w:line="240" w:lineRule="auto"/>
        <w:ind w:left="810"/>
        <w:textAlignment w:val="baseline"/>
        <w:rPr>
          <w:rFonts w:ascii="Calibri" w:eastAsia="Times New Roman" w:hAnsi="Calibri" w:cs="Calibri"/>
        </w:rPr>
      </w:pPr>
      <w:r w:rsidRPr="00135B01">
        <w:rPr>
          <w:rFonts w:ascii="Calibri" w:eastAsia="Times New Roman" w:hAnsi="Calibri" w:cs="Calibri"/>
        </w:rPr>
        <w:t xml:space="preserve">Race &amp; Ethnicity: African American, Asian, Caucasian, Hispanic/Latino/Latina, </w:t>
      </w:r>
      <w:r w:rsidR="00240505" w:rsidRPr="00135B01">
        <w:rPr>
          <w:rFonts w:ascii="Calibri" w:eastAsia="Times New Roman" w:hAnsi="Calibri" w:cs="Calibri"/>
        </w:rPr>
        <w:t>“</w:t>
      </w:r>
      <w:r w:rsidRPr="00135B01">
        <w:rPr>
          <w:rFonts w:ascii="Calibri" w:eastAsia="Times New Roman" w:hAnsi="Calibri" w:cs="Calibri"/>
        </w:rPr>
        <w:t>More Than One Race</w:t>
      </w:r>
      <w:r w:rsidR="00240505" w:rsidRPr="00135B01">
        <w:rPr>
          <w:rFonts w:ascii="Calibri" w:eastAsia="Times New Roman" w:hAnsi="Calibri" w:cs="Calibri"/>
        </w:rPr>
        <w:t>”</w:t>
      </w:r>
      <w:r w:rsidRPr="00135B01">
        <w:rPr>
          <w:rFonts w:ascii="Calibri" w:eastAsia="Times New Roman" w:hAnsi="Calibri" w:cs="Calibri"/>
        </w:rPr>
        <w:t>, Native American, “</w:t>
      </w:r>
      <w:r w:rsidR="00A14A1A" w:rsidRPr="00135B01">
        <w:rPr>
          <w:rFonts w:ascii="Calibri" w:eastAsia="Times New Roman" w:hAnsi="Calibri" w:cs="Calibri"/>
        </w:rPr>
        <w:t>Non-Resident</w:t>
      </w:r>
      <w:r w:rsidRPr="00135B01">
        <w:rPr>
          <w:rFonts w:ascii="Calibri" w:eastAsia="Times New Roman" w:hAnsi="Calibri" w:cs="Calibri"/>
        </w:rPr>
        <w:t xml:space="preserve"> Alien</w:t>
      </w:r>
      <w:r w:rsidR="00A14A1A">
        <w:rPr>
          <w:rFonts w:ascii="Calibri" w:eastAsia="Times New Roman" w:hAnsi="Calibri" w:cs="Calibri"/>
        </w:rPr>
        <w:t>,</w:t>
      </w:r>
      <w:r w:rsidRPr="00135B01">
        <w:rPr>
          <w:rFonts w:ascii="Calibri" w:eastAsia="Times New Roman" w:hAnsi="Calibri" w:cs="Calibri"/>
        </w:rPr>
        <w:t>” Not Specified, Pacific Islander </w:t>
      </w:r>
    </w:p>
    <w:p w14:paraId="44FDC3AB" w14:textId="3C2609F0" w:rsidR="00135B01" w:rsidRDefault="00CC17D6" w:rsidP="00135B01">
      <w:pPr>
        <w:pStyle w:val="ListParagraph"/>
        <w:numPr>
          <w:ilvl w:val="1"/>
          <w:numId w:val="17"/>
        </w:numPr>
        <w:spacing w:after="0" w:line="240" w:lineRule="auto"/>
        <w:ind w:left="810"/>
        <w:textAlignment w:val="baseline"/>
        <w:rPr>
          <w:rFonts w:ascii="Calibri" w:eastAsia="Times New Roman" w:hAnsi="Calibri" w:cs="Calibri"/>
        </w:rPr>
      </w:pPr>
      <w:r w:rsidRPr="00135B01">
        <w:rPr>
          <w:rFonts w:ascii="Calibri" w:eastAsia="Times New Roman" w:hAnsi="Calibri" w:cs="Calibri"/>
        </w:rPr>
        <w:t>First Generation </w:t>
      </w:r>
      <w:r w:rsidR="00135B01">
        <w:rPr>
          <w:rFonts w:ascii="Calibri" w:eastAsia="Times New Roman" w:hAnsi="Calibri" w:cs="Calibri"/>
        </w:rPr>
        <w:t>Student</w:t>
      </w:r>
    </w:p>
    <w:p w14:paraId="3FEFF3B3" w14:textId="77777777" w:rsidR="00135B01" w:rsidRDefault="00CC17D6" w:rsidP="00135B01">
      <w:pPr>
        <w:pStyle w:val="ListParagraph"/>
        <w:numPr>
          <w:ilvl w:val="1"/>
          <w:numId w:val="17"/>
        </w:numPr>
        <w:spacing w:after="0" w:line="240" w:lineRule="auto"/>
        <w:ind w:left="810"/>
        <w:textAlignment w:val="baseline"/>
        <w:rPr>
          <w:rFonts w:ascii="Calibri" w:eastAsia="Times New Roman" w:hAnsi="Calibri" w:cs="Calibri"/>
        </w:rPr>
      </w:pPr>
      <w:r w:rsidRPr="00135B01">
        <w:rPr>
          <w:rFonts w:ascii="Calibri" w:eastAsia="Times New Roman" w:hAnsi="Calibri" w:cs="Calibri"/>
        </w:rPr>
        <w:t>Veteran</w:t>
      </w:r>
    </w:p>
    <w:p w14:paraId="7B51A171" w14:textId="77777777" w:rsidR="00135B01" w:rsidRDefault="00CC17D6" w:rsidP="00135B01">
      <w:pPr>
        <w:pStyle w:val="ListParagraph"/>
        <w:numPr>
          <w:ilvl w:val="1"/>
          <w:numId w:val="17"/>
        </w:numPr>
        <w:spacing w:after="0" w:line="240" w:lineRule="auto"/>
        <w:ind w:left="810"/>
        <w:textAlignment w:val="baseline"/>
        <w:rPr>
          <w:rFonts w:ascii="Calibri" w:eastAsia="Times New Roman" w:hAnsi="Calibri" w:cs="Calibri"/>
        </w:rPr>
      </w:pPr>
      <w:r w:rsidRPr="00135B01">
        <w:rPr>
          <w:rFonts w:ascii="Calibri" w:eastAsia="Times New Roman" w:hAnsi="Calibri" w:cs="Calibri"/>
        </w:rPr>
        <w:t>Student Athlete</w:t>
      </w:r>
    </w:p>
    <w:p w14:paraId="2AB0D355" w14:textId="2CDB7CDB" w:rsidR="003F1247" w:rsidRPr="00135B01" w:rsidRDefault="00C12055" w:rsidP="00135B01">
      <w:pPr>
        <w:pStyle w:val="ListParagraph"/>
        <w:numPr>
          <w:ilvl w:val="1"/>
          <w:numId w:val="17"/>
        </w:numPr>
        <w:spacing w:after="0" w:line="240" w:lineRule="auto"/>
        <w:ind w:left="810"/>
        <w:textAlignment w:val="baseline"/>
        <w:rPr>
          <w:rFonts w:ascii="Calibri" w:eastAsia="Times New Roman" w:hAnsi="Calibri" w:cs="Calibri"/>
        </w:rPr>
      </w:pPr>
      <w:r w:rsidRPr="00135B01">
        <w:rPr>
          <w:rFonts w:ascii="Calibri" w:eastAsia="Times New Roman" w:hAnsi="Calibri" w:cs="Calibri"/>
        </w:rPr>
        <w:t>Employee</w:t>
      </w:r>
      <w:r w:rsidR="00CC17D6" w:rsidRPr="00135B01">
        <w:rPr>
          <w:rFonts w:ascii="Calibri" w:eastAsia="Times New Roman" w:hAnsi="Calibri" w:cs="Calibri"/>
        </w:rPr>
        <w:t> </w:t>
      </w:r>
    </w:p>
    <w:p w14:paraId="4DC38246" w14:textId="77777777" w:rsidR="003C40C2" w:rsidRPr="003C40C2" w:rsidRDefault="003C40C2" w:rsidP="003C40C2">
      <w:pPr>
        <w:spacing w:after="0" w:line="240" w:lineRule="auto"/>
        <w:ind w:left="1800"/>
        <w:textAlignment w:val="baseline"/>
        <w:rPr>
          <w:rFonts w:ascii="Calibri" w:eastAsia="Times New Roman" w:hAnsi="Calibri" w:cs="Calibri"/>
        </w:rPr>
      </w:pPr>
    </w:p>
    <w:p w14:paraId="0FABFC68" w14:textId="38FF9F7F" w:rsidR="00CC17D6" w:rsidRPr="00CC17D6" w:rsidRDefault="00CC17D6" w:rsidP="00CC17D6">
      <w:pPr>
        <w:spacing w:after="0" w:line="240" w:lineRule="auto"/>
        <w:textAlignment w:val="baseline"/>
        <w:rPr>
          <w:rFonts w:ascii="Segoe UI" w:eastAsia="Times New Roman" w:hAnsi="Segoe UI" w:cs="Segoe UI"/>
          <w:color w:val="2F5496"/>
          <w:sz w:val="18"/>
          <w:szCs w:val="18"/>
        </w:rPr>
      </w:pPr>
      <w:r w:rsidRPr="00CC17D6">
        <w:rPr>
          <w:rFonts w:ascii="Calibri Light" w:eastAsia="Times New Roman" w:hAnsi="Calibri Light" w:cs="Calibri Light"/>
          <w:color w:val="2F5496"/>
          <w:sz w:val="32"/>
          <w:szCs w:val="32"/>
        </w:rPr>
        <w:t>Methodology &amp; Data Disaggregation by Race/Ethnicity </w:t>
      </w:r>
    </w:p>
    <w:p w14:paraId="6E685D56" w14:textId="32A7F034" w:rsidR="00B16611" w:rsidRDefault="00B16611" w:rsidP="00610B5D">
      <w:pPr>
        <w:spacing w:after="0" w:line="240" w:lineRule="auto"/>
        <w:textAlignment w:val="baseline"/>
        <w:rPr>
          <w:rFonts w:ascii="Calibri" w:eastAsia="Times New Roman" w:hAnsi="Calibri" w:cs="Calibri"/>
        </w:rPr>
      </w:pPr>
      <w:r w:rsidRPr="00CC17D6">
        <w:rPr>
          <w:rFonts w:ascii="Calibri" w:eastAsia="Times New Roman" w:hAnsi="Calibri" w:cs="Calibri"/>
        </w:rPr>
        <w:t>In Spring 2022, Thayne Center began utilizing DOMO software to better analyze data about pantry usage, which gave new life to data sets dating back to October 2019.  Prior to this software, data analysis was limited to total number of visit</w:t>
      </w:r>
      <w:r>
        <w:rPr>
          <w:rFonts w:ascii="Calibri" w:eastAsia="Times New Roman" w:hAnsi="Calibri" w:cs="Calibri"/>
        </w:rPr>
        <w:t>s</w:t>
      </w:r>
      <w:r w:rsidRPr="00CC17D6">
        <w:rPr>
          <w:rFonts w:ascii="Calibri" w:eastAsia="Times New Roman" w:hAnsi="Calibri" w:cs="Calibri"/>
        </w:rPr>
        <w:t xml:space="preserve"> and could not be disaggregated.</w:t>
      </w:r>
      <w:r w:rsidR="00677C31">
        <w:rPr>
          <w:rFonts w:ascii="Calibri" w:eastAsia="Times New Roman" w:hAnsi="Calibri" w:cs="Calibri"/>
        </w:rPr>
        <w:t xml:space="preserve"> </w:t>
      </w:r>
      <w:r w:rsidR="00C46A00">
        <w:rPr>
          <w:rFonts w:ascii="Calibri" w:eastAsia="Times New Roman" w:hAnsi="Calibri" w:cs="Calibri"/>
        </w:rPr>
        <w:t xml:space="preserve"> To minimize barriers to</w:t>
      </w:r>
      <w:r w:rsidR="004530AB">
        <w:rPr>
          <w:rFonts w:ascii="Calibri" w:eastAsia="Times New Roman" w:hAnsi="Calibri" w:cs="Calibri"/>
        </w:rPr>
        <w:t xml:space="preserve"> visitors</w:t>
      </w:r>
      <w:r w:rsidR="00C46A00">
        <w:rPr>
          <w:rFonts w:ascii="Calibri" w:eastAsia="Times New Roman" w:hAnsi="Calibri" w:cs="Calibri"/>
        </w:rPr>
        <w:t xml:space="preserve">, </w:t>
      </w:r>
      <w:r w:rsidR="004530AB">
        <w:rPr>
          <w:rFonts w:ascii="Calibri" w:eastAsia="Times New Roman" w:hAnsi="Calibri" w:cs="Calibri"/>
        </w:rPr>
        <w:t>Thayne Center personnel</w:t>
      </w:r>
      <w:r w:rsidR="00C46A00">
        <w:rPr>
          <w:rFonts w:ascii="Calibri" w:eastAsia="Times New Roman" w:hAnsi="Calibri" w:cs="Calibri"/>
        </w:rPr>
        <w:t xml:space="preserve"> ask</w:t>
      </w:r>
      <w:r w:rsidR="004530AB">
        <w:rPr>
          <w:rFonts w:ascii="Calibri" w:eastAsia="Times New Roman" w:hAnsi="Calibri" w:cs="Calibri"/>
        </w:rPr>
        <w:t>s visitors</w:t>
      </w:r>
      <w:r w:rsidR="00C46A00">
        <w:rPr>
          <w:rFonts w:ascii="Calibri" w:eastAsia="Times New Roman" w:hAnsi="Calibri" w:cs="Calibri"/>
        </w:rPr>
        <w:t xml:space="preserve"> to </w:t>
      </w:r>
      <w:r w:rsidR="004530AB">
        <w:rPr>
          <w:rFonts w:ascii="Calibri" w:eastAsia="Times New Roman" w:hAnsi="Calibri" w:cs="Calibri"/>
        </w:rPr>
        <w:t xml:space="preserve">quickly </w:t>
      </w:r>
      <w:r w:rsidR="00C46A00">
        <w:rPr>
          <w:rFonts w:ascii="Calibri" w:eastAsia="Times New Roman" w:hAnsi="Calibri" w:cs="Calibri"/>
        </w:rPr>
        <w:t xml:space="preserve">tap their </w:t>
      </w:r>
      <w:r w:rsidR="006C4DB3">
        <w:rPr>
          <w:rFonts w:ascii="Calibri" w:eastAsia="Times New Roman" w:hAnsi="Calibri" w:cs="Calibri"/>
        </w:rPr>
        <w:t xml:space="preserve">one-card or provide </w:t>
      </w:r>
      <w:r w:rsidR="004530AB">
        <w:rPr>
          <w:rFonts w:ascii="Calibri" w:eastAsia="Times New Roman" w:hAnsi="Calibri" w:cs="Calibri"/>
        </w:rPr>
        <w:t>their</w:t>
      </w:r>
      <w:r w:rsidR="006C4DB3">
        <w:rPr>
          <w:rFonts w:ascii="Calibri" w:eastAsia="Times New Roman" w:hAnsi="Calibri" w:cs="Calibri"/>
        </w:rPr>
        <w:t xml:space="preserve"> S-number.  </w:t>
      </w:r>
      <w:r w:rsidR="00B82706">
        <w:rPr>
          <w:rFonts w:ascii="Calibri" w:eastAsia="Times New Roman" w:hAnsi="Calibri" w:cs="Calibri"/>
        </w:rPr>
        <w:lastRenderedPageBreak/>
        <w:t xml:space="preserve">Thayne Center’s data collection </w:t>
      </w:r>
      <w:r w:rsidR="006C4DB3">
        <w:rPr>
          <w:rFonts w:ascii="Calibri" w:eastAsia="Times New Roman" w:hAnsi="Calibri" w:cs="Calibri"/>
        </w:rPr>
        <w:t>tracks the point in time a visitor enters the pantry</w:t>
      </w:r>
      <w:r w:rsidR="00D0104A">
        <w:rPr>
          <w:rFonts w:ascii="Calibri" w:eastAsia="Times New Roman" w:hAnsi="Calibri" w:cs="Calibri"/>
        </w:rPr>
        <w:t xml:space="preserve"> and the specific location within the network (Taylorsville Redwood, South City, Jordan, West Valley Center).</w:t>
      </w:r>
      <w:r w:rsidR="00F92CA5">
        <w:rPr>
          <w:rFonts w:ascii="Calibri" w:eastAsia="Times New Roman" w:hAnsi="Calibri" w:cs="Calibri"/>
        </w:rPr>
        <w:t xml:space="preserve">  </w:t>
      </w:r>
      <w:r w:rsidR="00D6532A">
        <w:rPr>
          <w:rFonts w:ascii="Calibri" w:eastAsia="Times New Roman" w:hAnsi="Calibri" w:cs="Calibri"/>
        </w:rPr>
        <w:t xml:space="preserve">On a monthly basis, representatives in Information Technology </w:t>
      </w:r>
      <w:r w:rsidR="007812F5">
        <w:rPr>
          <w:rFonts w:ascii="Calibri" w:eastAsia="Times New Roman" w:hAnsi="Calibri" w:cs="Calibri"/>
        </w:rPr>
        <w:t xml:space="preserve">collect this data from the Thayne Center, </w:t>
      </w:r>
      <w:r w:rsidR="000A1F35">
        <w:rPr>
          <w:rFonts w:ascii="Calibri" w:eastAsia="Times New Roman" w:hAnsi="Calibri" w:cs="Calibri"/>
        </w:rPr>
        <w:t xml:space="preserve">add demographic information, </w:t>
      </w:r>
      <w:r w:rsidR="00880DD7">
        <w:rPr>
          <w:rFonts w:ascii="Calibri" w:eastAsia="Times New Roman" w:hAnsi="Calibri" w:cs="Calibri"/>
        </w:rPr>
        <w:t>and remove visitor identifying information.  Through this process, each visitor is coded, allowing for analysis of multiple visits and disaggregation by specific visitor.</w:t>
      </w:r>
    </w:p>
    <w:p w14:paraId="016EAFF3" w14:textId="77777777" w:rsidR="00880DD7" w:rsidRDefault="00880DD7" w:rsidP="00610B5D">
      <w:pPr>
        <w:spacing w:after="0" w:line="240" w:lineRule="auto"/>
        <w:textAlignment w:val="baseline"/>
        <w:rPr>
          <w:rFonts w:ascii="Calibri" w:eastAsia="Times New Roman" w:hAnsi="Calibri" w:cs="Calibri"/>
        </w:rPr>
      </w:pPr>
    </w:p>
    <w:p w14:paraId="385B5278" w14:textId="61714074" w:rsidR="007D09F6" w:rsidRDefault="00E836D4" w:rsidP="00610B5D">
      <w:pPr>
        <w:spacing w:after="0" w:line="240" w:lineRule="auto"/>
        <w:textAlignment w:val="baseline"/>
        <w:rPr>
          <w:rFonts w:ascii="Calibri" w:eastAsia="Times New Roman" w:hAnsi="Calibri" w:cs="Calibri"/>
        </w:rPr>
      </w:pPr>
      <w:r>
        <w:rPr>
          <w:rFonts w:ascii="Calibri" w:eastAsia="Times New Roman" w:hAnsi="Calibri" w:cs="Calibri"/>
        </w:rPr>
        <w:t xml:space="preserve">Previously, DOMO </w:t>
      </w:r>
      <w:r w:rsidR="006D0318">
        <w:rPr>
          <w:rFonts w:ascii="Calibri" w:eastAsia="Times New Roman" w:hAnsi="Calibri" w:cs="Calibri"/>
        </w:rPr>
        <w:t>dashboards reported for ‘current semester’ usage</w:t>
      </w:r>
      <w:r w:rsidR="00B606EB">
        <w:rPr>
          <w:rFonts w:ascii="Calibri" w:eastAsia="Times New Roman" w:hAnsi="Calibri" w:cs="Calibri"/>
        </w:rPr>
        <w:t xml:space="preserve">, primarily used as a tool </w:t>
      </w:r>
      <w:r w:rsidR="005553C7">
        <w:rPr>
          <w:rFonts w:ascii="Calibri" w:eastAsia="Times New Roman" w:hAnsi="Calibri" w:cs="Calibri"/>
        </w:rPr>
        <w:t>for partnership with Institutional Development</w:t>
      </w:r>
      <w:r w:rsidR="006D0318">
        <w:rPr>
          <w:rFonts w:ascii="Calibri" w:eastAsia="Times New Roman" w:hAnsi="Calibri" w:cs="Calibri"/>
        </w:rPr>
        <w:t xml:space="preserve">.  </w:t>
      </w:r>
      <w:r w:rsidR="00880DD7">
        <w:rPr>
          <w:rFonts w:ascii="Calibri" w:eastAsia="Times New Roman" w:hAnsi="Calibri" w:cs="Calibri"/>
        </w:rPr>
        <w:t xml:space="preserve">For this project, Thayne Center </w:t>
      </w:r>
      <w:r w:rsidR="006D0318">
        <w:rPr>
          <w:rFonts w:ascii="Calibri" w:eastAsia="Times New Roman" w:hAnsi="Calibri" w:cs="Calibri"/>
        </w:rPr>
        <w:t>staff built</w:t>
      </w:r>
      <w:r w:rsidR="00880DD7">
        <w:rPr>
          <w:rFonts w:ascii="Calibri" w:eastAsia="Times New Roman" w:hAnsi="Calibri" w:cs="Calibri"/>
        </w:rPr>
        <w:t xml:space="preserve"> new </w:t>
      </w:r>
      <w:r w:rsidR="006D0318">
        <w:rPr>
          <w:rFonts w:ascii="Calibri" w:eastAsia="Times New Roman" w:hAnsi="Calibri" w:cs="Calibri"/>
        </w:rPr>
        <w:t xml:space="preserve">DOMO </w:t>
      </w:r>
      <w:r w:rsidR="00056E9B">
        <w:rPr>
          <w:rFonts w:ascii="Calibri" w:eastAsia="Times New Roman" w:hAnsi="Calibri" w:cs="Calibri"/>
        </w:rPr>
        <w:t>dashboards</w:t>
      </w:r>
      <w:r w:rsidR="00D23E9B">
        <w:rPr>
          <w:rFonts w:ascii="Calibri" w:eastAsia="Times New Roman" w:hAnsi="Calibri" w:cs="Calibri"/>
        </w:rPr>
        <w:t xml:space="preserve"> that could evaluate multi-year usage</w:t>
      </w:r>
      <w:r w:rsidR="00C71A84">
        <w:rPr>
          <w:rFonts w:ascii="Calibri" w:eastAsia="Times New Roman" w:hAnsi="Calibri" w:cs="Calibri"/>
        </w:rPr>
        <w:t xml:space="preserve">, including disaggregation by </w:t>
      </w:r>
      <w:r w:rsidR="008A22C8">
        <w:rPr>
          <w:rFonts w:ascii="Calibri" w:eastAsia="Times New Roman" w:hAnsi="Calibri" w:cs="Calibri"/>
        </w:rPr>
        <w:t>identity groups</w:t>
      </w:r>
      <w:r w:rsidR="00747404">
        <w:rPr>
          <w:rFonts w:ascii="Calibri" w:eastAsia="Times New Roman" w:hAnsi="Calibri" w:cs="Calibri"/>
        </w:rPr>
        <w:t xml:space="preserve"> connected to </w:t>
      </w:r>
      <w:r w:rsidR="007D09F6">
        <w:rPr>
          <w:rFonts w:ascii="Calibri" w:eastAsia="Times New Roman" w:hAnsi="Calibri" w:cs="Calibri"/>
        </w:rPr>
        <w:t>IT database information.</w:t>
      </w:r>
      <w:r w:rsidR="00871564">
        <w:rPr>
          <w:rFonts w:ascii="Calibri" w:eastAsia="Times New Roman" w:hAnsi="Calibri" w:cs="Calibri"/>
        </w:rPr>
        <w:t xml:space="preserve">  </w:t>
      </w:r>
      <w:r w:rsidR="00787FBB">
        <w:rPr>
          <w:rFonts w:ascii="Calibri" w:eastAsia="Times New Roman" w:hAnsi="Calibri" w:cs="Calibri"/>
        </w:rPr>
        <w:t>To show changes over time, visitors</w:t>
      </w:r>
      <w:r w:rsidR="00871564">
        <w:rPr>
          <w:rFonts w:ascii="Calibri" w:eastAsia="Times New Roman" w:hAnsi="Calibri" w:cs="Calibri"/>
        </w:rPr>
        <w:t xml:space="preserve"> in this report</w:t>
      </w:r>
      <w:r w:rsidR="00787FBB">
        <w:rPr>
          <w:rFonts w:ascii="Calibri" w:eastAsia="Times New Roman" w:hAnsi="Calibri" w:cs="Calibri"/>
        </w:rPr>
        <w:t xml:space="preserve"> are grouped in ‘Years.</w:t>
      </w:r>
      <w:r w:rsidR="00871564">
        <w:rPr>
          <w:rFonts w:ascii="Calibri" w:eastAsia="Times New Roman" w:hAnsi="Calibri" w:cs="Calibri"/>
        </w:rPr>
        <w:t>’</w:t>
      </w:r>
    </w:p>
    <w:p w14:paraId="616C8DD0" w14:textId="77777777" w:rsidR="00F92CA5" w:rsidRDefault="00F92CA5" w:rsidP="00610B5D">
      <w:pPr>
        <w:spacing w:after="0" w:line="240" w:lineRule="auto"/>
        <w:textAlignment w:val="baseline"/>
        <w:rPr>
          <w:rFonts w:ascii="Calibri" w:eastAsia="Times New Roman" w:hAnsi="Calibri" w:cs="Calibri"/>
        </w:rPr>
      </w:pPr>
    </w:p>
    <w:p w14:paraId="1C22409E" w14:textId="019009EB" w:rsidR="00CC17D6" w:rsidRDefault="00CC17D6" w:rsidP="00CC17D6">
      <w:pPr>
        <w:spacing w:after="0" w:line="240" w:lineRule="auto"/>
        <w:textAlignment w:val="baseline"/>
        <w:rPr>
          <w:rFonts w:ascii="Calibri Light" w:eastAsia="Times New Roman" w:hAnsi="Calibri Light" w:cs="Calibri Light"/>
          <w:color w:val="2F5496"/>
          <w:sz w:val="32"/>
          <w:szCs w:val="32"/>
        </w:rPr>
      </w:pPr>
      <w:r w:rsidRPr="00CC17D6">
        <w:rPr>
          <w:rFonts w:ascii="Calibri Light" w:eastAsia="Times New Roman" w:hAnsi="Calibri Light" w:cs="Calibri Light"/>
          <w:color w:val="2F5496"/>
          <w:sz w:val="32"/>
          <w:szCs w:val="32"/>
        </w:rPr>
        <w:t>Challenges</w:t>
      </w:r>
      <w:r w:rsidR="00CA3F41">
        <w:rPr>
          <w:rFonts w:ascii="Calibri Light" w:eastAsia="Times New Roman" w:hAnsi="Calibri Light" w:cs="Calibri Light"/>
          <w:color w:val="2F5496"/>
          <w:sz w:val="32"/>
          <w:szCs w:val="32"/>
        </w:rPr>
        <w:t xml:space="preserve"> &amp; Limitations</w:t>
      </w:r>
    </w:p>
    <w:p w14:paraId="073BD84F" w14:textId="3A70E5B4" w:rsidR="00775F2D" w:rsidRDefault="007C6613" w:rsidP="00441DDB">
      <w:pPr>
        <w:spacing w:after="0" w:line="240" w:lineRule="auto"/>
        <w:textAlignment w:val="baseline"/>
        <w:rPr>
          <w:rFonts w:eastAsia="Times New Roman" w:cstheme="minorHAnsi"/>
        </w:rPr>
      </w:pPr>
      <w:r w:rsidRPr="003C31BE">
        <w:rPr>
          <w:rFonts w:eastAsia="Times New Roman" w:cstheme="minorHAnsi"/>
        </w:rPr>
        <w:t xml:space="preserve">Data collection began mid-semester in October 2019. </w:t>
      </w:r>
      <w:r w:rsidR="007F1CB4" w:rsidRPr="003C31BE">
        <w:rPr>
          <w:rFonts w:eastAsia="Times New Roman" w:cstheme="minorHAnsi"/>
        </w:rPr>
        <w:t xml:space="preserve"> Additionally, at the time of this report, data for Summer 2023 is incomplete.</w:t>
      </w:r>
      <w:r w:rsidR="00D41997" w:rsidRPr="003C31BE">
        <w:rPr>
          <w:rFonts w:eastAsia="Times New Roman" w:cstheme="minorHAnsi"/>
        </w:rPr>
        <w:t xml:space="preserve">  This limits data year-to-year change analysis to common points between October 2019 – April 2022.</w:t>
      </w:r>
      <w:r w:rsidR="00775F2D">
        <w:rPr>
          <w:rFonts w:eastAsia="Times New Roman" w:cstheme="minorHAnsi"/>
        </w:rPr>
        <w:t xml:space="preserve">  With the goal to analyze change over time, the measuring unit of “one-year” differs slightly</w:t>
      </w:r>
      <w:r w:rsidR="00BB0A9A">
        <w:rPr>
          <w:rFonts w:eastAsia="Times New Roman" w:cstheme="minorHAnsi"/>
        </w:rPr>
        <w:t xml:space="preserve"> as the </w:t>
      </w:r>
      <w:r w:rsidR="00436930">
        <w:rPr>
          <w:rFonts w:eastAsia="Times New Roman" w:cstheme="minorHAnsi"/>
        </w:rPr>
        <w:t>fourth cycle has yet to complete</w:t>
      </w:r>
      <w:r w:rsidR="004744D2">
        <w:rPr>
          <w:rFonts w:eastAsia="Times New Roman" w:cstheme="minorHAnsi"/>
        </w:rPr>
        <w:t xml:space="preserve">. </w:t>
      </w:r>
      <w:r w:rsidR="006C2923">
        <w:rPr>
          <w:rFonts w:eastAsia="Times New Roman" w:cstheme="minorHAnsi"/>
        </w:rPr>
        <w:t xml:space="preserve">  In the case of “Year 1” this includes data from </w:t>
      </w:r>
      <w:r w:rsidR="00A813B5">
        <w:rPr>
          <w:rFonts w:eastAsia="Times New Roman" w:cstheme="minorHAnsi"/>
        </w:rPr>
        <w:t>f</w:t>
      </w:r>
      <w:r w:rsidR="006C2923">
        <w:rPr>
          <w:rFonts w:eastAsia="Times New Roman" w:cstheme="minorHAnsi"/>
        </w:rPr>
        <w:t xml:space="preserve">all 2019, spring 2020, and summer 2020. On the other hand, the most recent </w:t>
      </w:r>
      <w:r w:rsidR="00A813B5">
        <w:rPr>
          <w:rFonts w:eastAsia="Times New Roman" w:cstheme="minorHAnsi"/>
        </w:rPr>
        <w:t xml:space="preserve">“year’s cycle” includes data from </w:t>
      </w:r>
      <w:r w:rsidR="0077473B">
        <w:rPr>
          <w:rFonts w:eastAsia="Times New Roman" w:cstheme="minorHAnsi"/>
        </w:rPr>
        <w:t>year three (</w:t>
      </w:r>
      <w:r w:rsidR="00A813B5">
        <w:rPr>
          <w:rFonts w:eastAsia="Times New Roman" w:cstheme="minorHAnsi"/>
        </w:rPr>
        <w:t>summer 2022</w:t>
      </w:r>
      <w:r w:rsidR="0077473B">
        <w:rPr>
          <w:rFonts w:eastAsia="Times New Roman" w:cstheme="minorHAnsi"/>
        </w:rPr>
        <w:t>) and year four (</w:t>
      </w:r>
      <w:r w:rsidR="00A813B5">
        <w:rPr>
          <w:rFonts w:eastAsia="Times New Roman" w:cstheme="minorHAnsi"/>
        </w:rPr>
        <w:t>fall 2022</w:t>
      </w:r>
      <w:r w:rsidR="0077473B">
        <w:rPr>
          <w:rFonts w:eastAsia="Times New Roman" w:cstheme="minorHAnsi"/>
        </w:rPr>
        <w:t xml:space="preserve"> </w:t>
      </w:r>
      <w:r w:rsidR="00A813B5">
        <w:rPr>
          <w:rFonts w:eastAsia="Times New Roman" w:cstheme="minorHAnsi"/>
        </w:rPr>
        <w:t>and spring 2023</w:t>
      </w:r>
      <w:r w:rsidR="0077473B">
        <w:rPr>
          <w:rFonts w:eastAsia="Times New Roman" w:cstheme="minorHAnsi"/>
        </w:rPr>
        <w:t>)</w:t>
      </w:r>
      <w:r w:rsidR="00A813B5">
        <w:rPr>
          <w:rFonts w:eastAsia="Times New Roman" w:cstheme="minorHAnsi"/>
        </w:rPr>
        <w:t>.</w:t>
      </w:r>
      <w:r w:rsidR="00200CD1">
        <w:rPr>
          <w:rFonts w:eastAsia="Times New Roman" w:cstheme="minorHAnsi"/>
        </w:rPr>
        <w:t xml:space="preserve">  </w:t>
      </w:r>
      <w:r w:rsidR="00DB7A28">
        <w:rPr>
          <w:rFonts w:eastAsia="Times New Roman" w:cstheme="minorHAnsi"/>
        </w:rPr>
        <w:t>To ease comparison, this most recent yearlong cycle is entitled “Year 3.5.”</w:t>
      </w:r>
    </w:p>
    <w:p w14:paraId="1BB4CC9C" w14:textId="77777777" w:rsidR="00775F2D" w:rsidRDefault="00775F2D" w:rsidP="00441DDB">
      <w:pPr>
        <w:spacing w:after="0" w:line="240" w:lineRule="auto"/>
        <w:textAlignment w:val="baseline"/>
        <w:rPr>
          <w:rFonts w:eastAsia="Times New Roman" w:cstheme="minorHAnsi"/>
        </w:rPr>
      </w:pPr>
    </w:p>
    <w:p w14:paraId="718704D9" w14:textId="1BACB12C" w:rsidR="002F0C09" w:rsidRDefault="00D41997" w:rsidP="00441DDB">
      <w:pPr>
        <w:spacing w:after="0" w:line="240" w:lineRule="auto"/>
        <w:textAlignment w:val="baseline"/>
        <w:rPr>
          <w:rFonts w:eastAsia="Times New Roman" w:cstheme="minorHAnsi"/>
        </w:rPr>
      </w:pPr>
      <w:r w:rsidRPr="003C31BE">
        <w:rPr>
          <w:rFonts w:eastAsia="Times New Roman" w:cstheme="minorHAnsi"/>
        </w:rPr>
        <w:t>Furthermore, two significant interruptions occurred during data collection</w:t>
      </w:r>
      <w:r w:rsidR="0038563D" w:rsidRPr="003C31BE">
        <w:rPr>
          <w:rFonts w:eastAsia="Times New Roman" w:cstheme="minorHAnsi"/>
        </w:rPr>
        <w:t>, likely impacting pantry usage and visits.  F</w:t>
      </w:r>
      <w:r w:rsidRPr="003C31BE">
        <w:rPr>
          <w:rFonts w:eastAsia="Times New Roman" w:cstheme="minorHAnsi"/>
        </w:rPr>
        <w:t>irst the</w:t>
      </w:r>
      <w:r w:rsidR="00B662CA" w:rsidRPr="003C31BE">
        <w:rPr>
          <w:rFonts w:eastAsia="Times New Roman" w:cstheme="minorHAnsi"/>
        </w:rPr>
        <w:t xml:space="preserve"> COVID-19 pandemic shifted pantry visits in March 2020 </w:t>
      </w:r>
      <w:r w:rsidR="00FF5EFC">
        <w:rPr>
          <w:rFonts w:eastAsia="Times New Roman" w:cstheme="minorHAnsi"/>
        </w:rPr>
        <w:t>from</w:t>
      </w:r>
      <w:r w:rsidR="00B662CA" w:rsidRPr="003C31BE">
        <w:rPr>
          <w:rFonts w:eastAsia="Times New Roman" w:cstheme="minorHAnsi"/>
        </w:rPr>
        <w:t xml:space="preserve"> in-person client choice to </w:t>
      </w:r>
      <w:r w:rsidR="006C0B9C" w:rsidRPr="003C31BE">
        <w:rPr>
          <w:rFonts w:eastAsia="Times New Roman" w:cstheme="minorHAnsi"/>
        </w:rPr>
        <w:t>a pre-packaged, low-contact pick-up s</w:t>
      </w:r>
      <w:r w:rsidR="00CA7DAE" w:rsidRPr="003C31BE">
        <w:rPr>
          <w:rFonts w:eastAsia="Times New Roman" w:cstheme="minorHAnsi"/>
        </w:rPr>
        <w:t xml:space="preserve">tructure.  </w:t>
      </w:r>
      <w:r w:rsidR="006636D6" w:rsidRPr="003C31BE">
        <w:rPr>
          <w:rFonts w:eastAsia="Times New Roman" w:cstheme="minorHAnsi"/>
        </w:rPr>
        <w:t>Pre-packed, low-contact pick-up was utilized</w:t>
      </w:r>
      <w:r w:rsidR="00253476" w:rsidRPr="003C31BE">
        <w:rPr>
          <w:rFonts w:eastAsia="Times New Roman" w:cstheme="minorHAnsi"/>
        </w:rPr>
        <w:t xml:space="preserve"> </w:t>
      </w:r>
      <w:r w:rsidR="00AC117A" w:rsidRPr="003C31BE">
        <w:rPr>
          <w:rFonts w:eastAsia="Times New Roman" w:cstheme="minorHAnsi"/>
        </w:rPr>
        <w:t xml:space="preserve">again </w:t>
      </w:r>
      <w:r w:rsidR="00FA38C8" w:rsidRPr="003C31BE">
        <w:rPr>
          <w:rFonts w:eastAsia="Times New Roman" w:cstheme="minorHAnsi"/>
        </w:rPr>
        <w:t>in</w:t>
      </w:r>
      <w:r w:rsidR="00253476" w:rsidRPr="003C31BE">
        <w:rPr>
          <w:rFonts w:eastAsia="Times New Roman" w:cstheme="minorHAnsi"/>
        </w:rPr>
        <w:t xml:space="preserve"> January </w:t>
      </w:r>
      <w:r w:rsidR="00FA38C8" w:rsidRPr="003C31BE">
        <w:rPr>
          <w:rFonts w:eastAsia="Times New Roman" w:cstheme="minorHAnsi"/>
        </w:rPr>
        <w:t xml:space="preserve">and </w:t>
      </w:r>
      <w:r w:rsidR="00B466B7" w:rsidRPr="003C31BE">
        <w:rPr>
          <w:rFonts w:eastAsia="Times New Roman" w:cstheme="minorHAnsi"/>
        </w:rPr>
        <w:t>February 2023 during</w:t>
      </w:r>
      <w:r w:rsidR="00CA7DAE" w:rsidRPr="003C31BE">
        <w:rPr>
          <w:rFonts w:eastAsia="Times New Roman" w:cstheme="minorHAnsi"/>
        </w:rPr>
        <w:t xml:space="preserve"> the relocation of the </w:t>
      </w:r>
      <w:r w:rsidR="0078423C" w:rsidRPr="003C31BE">
        <w:rPr>
          <w:rFonts w:eastAsia="Times New Roman" w:cstheme="minorHAnsi"/>
        </w:rPr>
        <w:t xml:space="preserve">Taylorsville Redwood campus pantry </w:t>
      </w:r>
      <w:r w:rsidR="00784DE8">
        <w:rPr>
          <w:rFonts w:eastAsia="Times New Roman" w:cstheme="minorHAnsi"/>
        </w:rPr>
        <w:t xml:space="preserve">from STC 015 </w:t>
      </w:r>
      <w:r w:rsidR="00B466B7" w:rsidRPr="003C31BE">
        <w:rPr>
          <w:rFonts w:eastAsia="Times New Roman" w:cstheme="minorHAnsi"/>
        </w:rPr>
        <w:t xml:space="preserve">to its new, larger </w:t>
      </w:r>
      <w:r w:rsidR="005B7E7A" w:rsidRPr="003C31BE">
        <w:rPr>
          <w:rFonts w:eastAsia="Times New Roman" w:cstheme="minorHAnsi"/>
        </w:rPr>
        <w:t>storefront in STC 020.</w:t>
      </w:r>
    </w:p>
    <w:p w14:paraId="135AAF12" w14:textId="0A14B781" w:rsidR="006331EA" w:rsidRDefault="006331EA" w:rsidP="00441DDB">
      <w:pPr>
        <w:spacing w:after="0" w:line="240" w:lineRule="auto"/>
        <w:textAlignment w:val="baseline"/>
        <w:rPr>
          <w:rFonts w:eastAsia="Times New Roman" w:cstheme="minorHAnsi"/>
        </w:rPr>
      </w:pPr>
    </w:p>
    <w:p w14:paraId="1A912B7A" w14:textId="77777777" w:rsidR="00070F26" w:rsidRDefault="00070F26" w:rsidP="00070F26">
      <w:pPr>
        <w:spacing w:after="0" w:line="240" w:lineRule="auto"/>
        <w:rPr>
          <w:rFonts w:ascii="Calibri Light" w:eastAsia="Times New Roman" w:hAnsi="Calibri Light" w:cs="Calibri Light"/>
          <w:color w:val="2F5496"/>
          <w:sz w:val="32"/>
          <w:szCs w:val="32"/>
        </w:rPr>
      </w:pPr>
      <w:r w:rsidRPr="00872013">
        <w:rPr>
          <w:rFonts w:ascii="Calibri Light" w:eastAsia="Times New Roman" w:hAnsi="Calibri Light" w:cs="Calibri Light"/>
          <w:color w:val="2F5496"/>
          <w:sz w:val="32"/>
          <w:szCs w:val="32"/>
        </w:rPr>
        <w:t>Findings</w:t>
      </w:r>
      <w:r>
        <w:rPr>
          <w:rFonts w:ascii="Calibri Light" w:eastAsia="Times New Roman" w:hAnsi="Calibri Light" w:cs="Calibri Light"/>
          <w:color w:val="2F5496"/>
          <w:sz w:val="32"/>
          <w:szCs w:val="32"/>
        </w:rPr>
        <w:t xml:space="preserve"> &amp; Interpretation</w:t>
      </w:r>
    </w:p>
    <w:p w14:paraId="4E3DA80F" w14:textId="77777777" w:rsidR="00070F26" w:rsidRDefault="00070F26" w:rsidP="00070F26">
      <w:pPr>
        <w:spacing w:after="0" w:line="240" w:lineRule="auto"/>
        <w:textAlignment w:val="baseline"/>
        <w:rPr>
          <w:rFonts w:ascii="Calibri" w:eastAsia="Times New Roman" w:hAnsi="Calibri" w:cs="Calibri"/>
          <w:b/>
          <w:bCs/>
        </w:rPr>
      </w:pPr>
      <w:r w:rsidRPr="00760E27">
        <w:rPr>
          <w:rFonts w:ascii="Calibri" w:eastAsia="Times New Roman" w:hAnsi="Calibri" w:cs="Calibri"/>
          <w:b/>
          <w:bCs/>
        </w:rPr>
        <w:t>How much has student use of the pantry changed from October 2019 through April 2023?</w:t>
      </w:r>
    </w:p>
    <w:p w14:paraId="2E651EE4" w14:textId="77777777" w:rsidR="00070F26" w:rsidRDefault="00070F26" w:rsidP="00070F26">
      <w:pPr>
        <w:spacing w:after="0" w:line="240" w:lineRule="auto"/>
        <w:rPr>
          <w:rFonts w:eastAsia="Times New Roman" w:cstheme="minorHAnsi"/>
        </w:rPr>
      </w:pPr>
      <w:r w:rsidRPr="0011415B">
        <w:rPr>
          <w:rFonts w:eastAsia="Times New Roman" w:cstheme="minorHAnsi"/>
        </w:rPr>
        <w:t>With the conclusion of Spring 2023, Bruin Pantry welcomed its 30,000</w:t>
      </w:r>
      <w:r w:rsidRPr="0011415B">
        <w:rPr>
          <w:rFonts w:eastAsia="Times New Roman" w:cstheme="minorHAnsi"/>
          <w:vertAlign w:val="superscript"/>
        </w:rPr>
        <w:t>th</w:t>
      </w:r>
      <w:r w:rsidRPr="0011415B">
        <w:rPr>
          <w:rFonts w:eastAsia="Times New Roman" w:cstheme="minorHAnsi"/>
        </w:rPr>
        <w:t xml:space="preserve"> visit since data collection began.  Compared seasonally and cumulatively, summer 2022, fall 2022, and spring 2023 had the most visits and visitors on record.  The pantries are more visible and widely used than ever (Chart 1).  These increases include growth at Taylorsville Redwood, Jordan Campus, and a ten-fold increase at West Valley Center (Graph 1, Chart 2).  However, the usership at the South City Campus as slowed and not returned to pre-pandemic visits.  </w:t>
      </w:r>
      <w:r>
        <w:rPr>
          <w:rFonts w:eastAsia="Times New Roman" w:cstheme="minorHAnsi"/>
        </w:rPr>
        <w:t>While staff visitors remain stable, they represent a considerably smaller percentage of overall visitors to the pantry (Chart 2).  One interesting change is that community members unaffiliated with the college have been a continuously growing group.  Importantly, Bruin Pantry usage has continued despite decreased enrollment at the institution overall.</w:t>
      </w:r>
    </w:p>
    <w:p w14:paraId="785EE9B1" w14:textId="77777777" w:rsidR="00070F26" w:rsidRDefault="00070F26" w:rsidP="00070F26">
      <w:pPr>
        <w:spacing w:after="0" w:line="240" w:lineRule="auto"/>
        <w:rPr>
          <w:rFonts w:eastAsia="Times New Roman" w:cstheme="minorHAnsi"/>
        </w:rPr>
      </w:pPr>
    </w:p>
    <w:p w14:paraId="6C381579" w14:textId="77777777" w:rsidR="00070F26" w:rsidRPr="0011415B" w:rsidRDefault="00070F26" w:rsidP="00070F26">
      <w:pPr>
        <w:spacing w:after="0" w:line="240" w:lineRule="auto"/>
        <w:rPr>
          <w:rFonts w:eastAsia="Times New Roman" w:cstheme="minorHAnsi"/>
        </w:rPr>
      </w:pPr>
      <w:r>
        <w:rPr>
          <w:rFonts w:eastAsia="Times New Roman" w:cstheme="minorHAnsi"/>
        </w:rPr>
        <w:t>Analyzing all-time visitor data, September 2022 was the single busiest on records for the pantry network (Chart 1).  This reflects an effective rebound in Bruin Pantry visibility following the dramatic decreased patronage during the COVID-19 pandemic.  Seemingly, Spring 2023 would have continued this trend, though service interruption from the Taylorsville Redwood campus storefront relocation slowed visits.  Nonetheless, visits completely rebounded by end of the semester, with April 2023 the busiest by annual comparison (Chart 1).  While not included in this report, early data from May and June 2023 also indicate record breaking usage will continue to be the trend.  Undoubtedly, efforts to standardize pantry hours and increase staffing are timely and necessary.</w:t>
      </w:r>
    </w:p>
    <w:p w14:paraId="3E9CABA2" w14:textId="77777777" w:rsidR="00070F26" w:rsidRPr="00760E27" w:rsidRDefault="00070F26" w:rsidP="00070F26">
      <w:pPr>
        <w:spacing w:after="0" w:line="240" w:lineRule="auto"/>
        <w:textAlignment w:val="baseline"/>
        <w:rPr>
          <w:rFonts w:ascii="Calibri" w:eastAsia="Times New Roman" w:hAnsi="Calibri" w:cs="Calibri"/>
        </w:rPr>
      </w:pPr>
    </w:p>
    <w:p w14:paraId="1B713641" w14:textId="77777777" w:rsidR="00070F26" w:rsidRPr="008A2446" w:rsidRDefault="00070F26" w:rsidP="00070F26">
      <w:pPr>
        <w:spacing w:after="0" w:line="240" w:lineRule="auto"/>
        <w:rPr>
          <w:rFonts w:eastAsia="Times New Roman" w:cstheme="minorHAnsi"/>
          <w:b/>
          <w:bCs/>
          <w:color w:val="2F5496"/>
        </w:rPr>
      </w:pPr>
      <w:r w:rsidRPr="00760E27">
        <w:rPr>
          <w:rFonts w:ascii="Calibri" w:eastAsia="Times New Roman" w:hAnsi="Calibri" w:cs="Calibri"/>
          <w:b/>
          <w:bCs/>
        </w:rPr>
        <w:lastRenderedPageBreak/>
        <w:t>How have visitor demographics changed over the past 3.5 years?</w:t>
      </w:r>
      <w:r>
        <w:rPr>
          <w:rFonts w:ascii="Calibri" w:eastAsia="Times New Roman" w:hAnsi="Calibri" w:cs="Calibri"/>
          <w:b/>
          <w:bCs/>
        </w:rPr>
        <w:t xml:space="preserve">  </w:t>
      </w:r>
      <w:r w:rsidRPr="00760E27">
        <w:rPr>
          <w:rFonts w:ascii="Calibri" w:eastAsia="Times New Roman" w:hAnsi="Calibri" w:cs="Calibri"/>
          <w:b/>
          <w:bCs/>
        </w:rPr>
        <w:t>What are the demographics of current student pantry users? How well does this usage compare with student body demographics? </w:t>
      </w:r>
    </w:p>
    <w:p w14:paraId="613B0B44" w14:textId="77777777" w:rsidR="00070F26" w:rsidRPr="008F06FD" w:rsidRDefault="00070F26" w:rsidP="00070F26">
      <w:pPr>
        <w:spacing w:after="0" w:line="240" w:lineRule="auto"/>
        <w:textAlignment w:val="baseline"/>
        <w:rPr>
          <w:rFonts w:ascii="Calibri" w:eastAsia="Times New Roman" w:hAnsi="Calibri" w:cs="Calibri"/>
        </w:rPr>
      </w:pPr>
      <w:r>
        <w:rPr>
          <w:rFonts w:ascii="Calibri" w:eastAsia="Times New Roman" w:hAnsi="Calibri" w:cs="Calibri"/>
        </w:rPr>
        <w:t>In addition to increasing usage of the pantry, usership now better reflects the racial demographics of SLCC’s diverse student body.  Comparison between Year 1 and Year 3.5 shows greatest growth in visits among the Hispanic and Latinx community (Chart 2, Graph 2, Graph 3).  Increasing Hispanic and Latinx visitors while also increasingly overall pantry usage indicates extraordinary growth for this critical campus population.  As an emerging Hispanic Serving Institution (HSI) this reflects service goals and intentional partnerships at the college, which Thayne Center staff should continue to prioritize in the years ahead.  While SLCC continues its goals as an HSI, the Bruin Pantry should formalize these partnerships and share its successes as a model for continued growth within the Thayne Center and across the institution.  Through these demographic shifts, visitors from other underrepresented groups in higher education have remained consistent, indicating important changes culturally.</w:t>
      </w:r>
    </w:p>
    <w:p w14:paraId="312C1DA0" w14:textId="77777777" w:rsidR="00070F26" w:rsidRDefault="00070F26" w:rsidP="00070F26">
      <w:pPr>
        <w:spacing w:after="0" w:line="240" w:lineRule="auto"/>
        <w:rPr>
          <w:rFonts w:ascii="Calibri" w:eastAsia="Times New Roman" w:hAnsi="Calibri" w:cs="Calibri"/>
          <w:b/>
          <w:bCs/>
        </w:rPr>
      </w:pPr>
    </w:p>
    <w:p w14:paraId="04794883" w14:textId="77777777" w:rsidR="00070F26" w:rsidRDefault="00070F26" w:rsidP="00070F26">
      <w:pPr>
        <w:spacing w:after="0" w:line="240" w:lineRule="auto"/>
        <w:rPr>
          <w:rFonts w:ascii="Calibri" w:eastAsia="Times New Roman" w:hAnsi="Calibri" w:cs="Calibri"/>
        </w:rPr>
      </w:pPr>
      <w:r w:rsidRPr="00940C21">
        <w:rPr>
          <w:rFonts w:ascii="Calibri" w:eastAsia="Times New Roman" w:hAnsi="Calibri" w:cs="Calibri"/>
        </w:rPr>
        <w:t xml:space="preserve">Another important shift in visitor demographics </w:t>
      </w:r>
      <w:r>
        <w:rPr>
          <w:rFonts w:ascii="Calibri" w:eastAsia="Times New Roman" w:hAnsi="Calibri" w:cs="Calibri"/>
        </w:rPr>
        <w:t>is</w:t>
      </w:r>
      <w:r w:rsidRPr="00940C21">
        <w:rPr>
          <w:rFonts w:ascii="Calibri" w:eastAsia="Times New Roman" w:hAnsi="Calibri" w:cs="Calibri"/>
        </w:rPr>
        <w:t xml:space="preserve"> the percentage of first-generation students visiting the Bruin Pantry. </w:t>
      </w:r>
      <w:r>
        <w:rPr>
          <w:rFonts w:ascii="Calibri" w:eastAsia="Times New Roman" w:hAnsi="Calibri" w:cs="Calibri"/>
        </w:rPr>
        <w:t xml:space="preserve"> Despite stereotypes as unaware or reluctant to utilize campus resources, first-generation student users now make up 88% of visitors to the pantry, increased from 59% in Year 1 (Chart 2).  Furthermore, student visitors have fewer prior semesters at SLCC, indicating that students visit the pantry earlier in their academic career (Chart 3).  Nearly 40% of Year 3.5 visitors were first-year students, more than doubling from 16% in Year 1.  An additional study could explore whether these first-generation or first-year students are graduating in shorter time at the college.  Regardless, this indicates that partnership with transition programs at SLCC are elevating usership.</w:t>
      </w:r>
    </w:p>
    <w:p w14:paraId="3BDF84B5" w14:textId="77777777" w:rsidR="00070F26" w:rsidRPr="001A52F7" w:rsidRDefault="00070F26" w:rsidP="00070F26">
      <w:pPr>
        <w:spacing w:after="0" w:line="240" w:lineRule="auto"/>
        <w:rPr>
          <w:rFonts w:eastAsia="Times New Roman" w:cstheme="minorHAnsi"/>
          <w:i/>
          <w:iCs/>
          <w:color w:val="2F5496"/>
        </w:rPr>
      </w:pPr>
    </w:p>
    <w:p w14:paraId="08F2F9A9" w14:textId="77777777" w:rsidR="00070F26" w:rsidRDefault="00070F26" w:rsidP="00070F26">
      <w:pPr>
        <w:spacing w:after="0" w:line="240" w:lineRule="auto"/>
        <w:rPr>
          <w:rFonts w:ascii="Calibri Light" w:eastAsia="Times New Roman" w:hAnsi="Calibri Light" w:cs="Calibri Light"/>
          <w:color w:val="2F5496"/>
          <w:sz w:val="32"/>
          <w:szCs w:val="32"/>
        </w:rPr>
      </w:pPr>
      <w:r>
        <w:rPr>
          <w:rFonts w:ascii="Calibri Light" w:eastAsia="Times New Roman" w:hAnsi="Calibri Light" w:cs="Calibri Light"/>
          <w:color w:val="2F5496"/>
          <w:sz w:val="32"/>
          <w:szCs w:val="32"/>
        </w:rPr>
        <w:t>Recommendations</w:t>
      </w:r>
    </w:p>
    <w:p w14:paraId="6C607D11" w14:textId="77777777" w:rsidR="00070F26" w:rsidRPr="008973BD" w:rsidRDefault="00070F26" w:rsidP="00070F26">
      <w:pPr>
        <w:pStyle w:val="ListParagraph"/>
        <w:numPr>
          <w:ilvl w:val="0"/>
          <w:numId w:val="18"/>
        </w:numPr>
        <w:spacing w:after="0" w:line="240" w:lineRule="auto"/>
        <w:rPr>
          <w:rFonts w:eastAsia="Times New Roman" w:cstheme="minorHAnsi"/>
        </w:rPr>
      </w:pPr>
      <w:r w:rsidRPr="008973BD">
        <w:rPr>
          <w:rFonts w:eastAsia="Times New Roman" w:cstheme="minorHAnsi"/>
        </w:rPr>
        <w:t>Standardized hours and increased staffing provide consistency for visitors.</w:t>
      </w:r>
      <w:r>
        <w:rPr>
          <w:rFonts w:eastAsia="Times New Roman" w:cstheme="minorHAnsi"/>
        </w:rPr>
        <w:t xml:space="preserve">  Continue to focus staffing resources on the client-choice format as usage drops with pre-packaged periods.</w:t>
      </w:r>
    </w:p>
    <w:p w14:paraId="4CAAE99D" w14:textId="77777777" w:rsidR="00070F26" w:rsidRPr="008973BD" w:rsidRDefault="00070F26" w:rsidP="00070F26">
      <w:pPr>
        <w:pStyle w:val="ListParagraph"/>
        <w:numPr>
          <w:ilvl w:val="0"/>
          <w:numId w:val="18"/>
        </w:numPr>
        <w:spacing w:after="0" w:line="240" w:lineRule="auto"/>
        <w:rPr>
          <w:rFonts w:eastAsia="Times New Roman" w:cstheme="minorHAnsi"/>
        </w:rPr>
      </w:pPr>
      <w:r w:rsidRPr="008973BD">
        <w:rPr>
          <w:rFonts w:eastAsia="Times New Roman" w:cstheme="minorHAnsi"/>
        </w:rPr>
        <w:t>Based on successful outreach to Hispanic &amp; Latinx communities, formalize HSI partnerships across the institution.  Consider sharing narratives about program successes.</w:t>
      </w:r>
    </w:p>
    <w:p w14:paraId="53D1105D" w14:textId="77777777" w:rsidR="00070F26" w:rsidRPr="008973BD" w:rsidRDefault="00070F26" w:rsidP="00070F26">
      <w:pPr>
        <w:pStyle w:val="ListParagraph"/>
        <w:numPr>
          <w:ilvl w:val="0"/>
          <w:numId w:val="18"/>
        </w:numPr>
        <w:spacing w:after="0" w:line="240" w:lineRule="auto"/>
        <w:rPr>
          <w:rFonts w:eastAsia="Times New Roman" w:cstheme="minorHAnsi"/>
        </w:rPr>
      </w:pPr>
      <w:r w:rsidRPr="008973BD">
        <w:rPr>
          <w:rFonts w:eastAsia="Times New Roman" w:cstheme="minorHAnsi"/>
        </w:rPr>
        <w:t>Partnerships with SLCC programs which serve first-generation students and students in transition has increased visitors.  Continue partnerships with TRIO, PACE, and Orientation &amp; Student Success.  Focus outreach and promotion among these groups.</w:t>
      </w:r>
    </w:p>
    <w:p w14:paraId="166DA1F2" w14:textId="77777777" w:rsidR="00070F26" w:rsidRPr="008973BD" w:rsidRDefault="00070F26" w:rsidP="00070F26">
      <w:pPr>
        <w:pStyle w:val="ListParagraph"/>
        <w:numPr>
          <w:ilvl w:val="0"/>
          <w:numId w:val="18"/>
        </w:numPr>
        <w:spacing w:after="0" w:line="240" w:lineRule="auto"/>
        <w:rPr>
          <w:rFonts w:eastAsia="Times New Roman" w:cstheme="minorHAnsi"/>
        </w:rPr>
      </w:pPr>
      <w:r w:rsidRPr="008973BD">
        <w:rPr>
          <w:rFonts w:eastAsia="Times New Roman" w:cstheme="minorHAnsi"/>
        </w:rPr>
        <w:t>Evaluate decreased attendance at S</w:t>
      </w:r>
      <w:r>
        <w:rPr>
          <w:rFonts w:eastAsia="Times New Roman" w:cstheme="minorHAnsi"/>
        </w:rPr>
        <w:t>outh City Campus.  It is unclear whether this is at a similar rate to enrollment and attendance at the site.  This may also reflect changing student demographics at the campus.  Additional research partnership may be needed with programs hosted at this campus.</w:t>
      </w:r>
    </w:p>
    <w:p w14:paraId="06EA7272" w14:textId="77777777" w:rsidR="00070F26" w:rsidRPr="002F0C09" w:rsidRDefault="00070F26" w:rsidP="00070F26">
      <w:pPr>
        <w:spacing w:after="0" w:line="240" w:lineRule="auto"/>
        <w:rPr>
          <w:b/>
          <w:bCs/>
        </w:rPr>
      </w:pPr>
    </w:p>
    <w:p w14:paraId="6A286F33" w14:textId="40B8A8BB" w:rsidR="00DB7A28" w:rsidRPr="00070F26" w:rsidRDefault="00DB7A28" w:rsidP="00070F26"/>
    <w:p w14:paraId="7DE16660" w14:textId="77777777" w:rsidR="002F0C09" w:rsidRPr="002F0C09" w:rsidRDefault="002F0C09" w:rsidP="007F28BA">
      <w:pPr>
        <w:spacing w:after="0" w:line="240" w:lineRule="auto"/>
        <w:rPr>
          <w:b/>
          <w:bCs/>
        </w:rPr>
      </w:pPr>
    </w:p>
    <w:p w14:paraId="76FD1387" w14:textId="77777777" w:rsidR="005D0584" w:rsidRDefault="005D0584">
      <w:r>
        <w:br w:type="page"/>
      </w:r>
    </w:p>
    <w:p w14:paraId="5F357546" w14:textId="7E40EE60" w:rsidR="1A806D4A" w:rsidRDefault="00BD208A" w:rsidP="007F28BA">
      <w:pPr>
        <w:spacing w:after="0" w:line="240" w:lineRule="auto"/>
      </w:pPr>
      <w:r>
        <w:lastRenderedPageBreak/>
        <w:t xml:space="preserve">Chart 1: </w:t>
      </w:r>
      <w:r w:rsidR="005D0584">
        <w:t xml:space="preserve">Bruin Pantry </w:t>
      </w:r>
      <w:r w:rsidR="002B01A8">
        <w:t>visits &amp; visitors per term</w:t>
      </w:r>
    </w:p>
    <w:tbl>
      <w:tblPr>
        <w:tblStyle w:val="TableGrid"/>
        <w:tblW w:w="0" w:type="auto"/>
        <w:tblLook w:val="04A0" w:firstRow="1" w:lastRow="0" w:firstColumn="1" w:lastColumn="0" w:noHBand="0" w:noVBand="1"/>
      </w:tblPr>
      <w:tblGrid>
        <w:gridCol w:w="1525"/>
        <w:gridCol w:w="1236"/>
        <w:gridCol w:w="1191"/>
        <w:gridCol w:w="1504"/>
        <w:gridCol w:w="1535"/>
        <w:gridCol w:w="1239"/>
        <w:gridCol w:w="1120"/>
      </w:tblGrid>
      <w:tr w:rsidR="007C7926" w14:paraId="421A17D6" w14:textId="12B005A8" w:rsidTr="002308BD">
        <w:tc>
          <w:tcPr>
            <w:tcW w:w="1525" w:type="dxa"/>
            <w:shd w:val="clear" w:color="auto" w:fill="BFBFBF" w:themeFill="background1" w:themeFillShade="BF"/>
          </w:tcPr>
          <w:p w14:paraId="1E9E2E9A" w14:textId="73E3E6ED" w:rsidR="007C7926" w:rsidRPr="007C7926" w:rsidRDefault="007C7926" w:rsidP="002308BD">
            <w:pPr>
              <w:jc w:val="center"/>
              <w:rPr>
                <w:b/>
                <w:bCs/>
              </w:rPr>
            </w:pPr>
            <w:r w:rsidRPr="007C7926">
              <w:rPr>
                <w:b/>
                <w:bCs/>
              </w:rPr>
              <w:t>Visits</w:t>
            </w:r>
          </w:p>
        </w:tc>
        <w:tc>
          <w:tcPr>
            <w:tcW w:w="1236" w:type="dxa"/>
            <w:shd w:val="clear" w:color="auto" w:fill="BFBFBF" w:themeFill="background1" w:themeFillShade="BF"/>
          </w:tcPr>
          <w:p w14:paraId="356E927A" w14:textId="65389967" w:rsidR="007C7926" w:rsidRPr="007C7926" w:rsidRDefault="007C7926" w:rsidP="002308BD">
            <w:pPr>
              <w:jc w:val="center"/>
              <w:rPr>
                <w:b/>
                <w:bCs/>
              </w:rPr>
            </w:pPr>
            <w:r>
              <w:rPr>
                <w:b/>
                <w:bCs/>
              </w:rPr>
              <w:t>Visits</w:t>
            </w:r>
          </w:p>
        </w:tc>
        <w:tc>
          <w:tcPr>
            <w:tcW w:w="1191" w:type="dxa"/>
            <w:shd w:val="clear" w:color="auto" w:fill="BFBFBF" w:themeFill="background1" w:themeFillShade="BF"/>
          </w:tcPr>
          <w:p w14:paraId="1BF503F9" w14:textId="7B837EDD" w:rsidR="007C7926" w:rsidRDefault="007C7926" w:rsidP="002308BD">
            <w:pPr>
              <w:jc w:val="center"/>
              <w:rPr>
                <w:b/>
                <w:bCs/>
              </w:rPr>
            </w:pPr>
            <w:r>
              <w:rPr>
                <w:b/>
                <w:bCs/>
              </w:rPr>
              <w:t>Visitors</w:t>
            </w:r>
          </w:p>
        </w:tc>
        <w:tc>
          <w:tcPr>
            <w:tcW w:w="1504" w:type="dxa"/>
            <w:shd w:val="clear" w:color="auto" w:fill="BFBFBF" w:themeFill="background1" w:themeFillShade="BF"/>
          </w:tcPr>
          <w:p w14:paraId="6DF62590" w14:textId="4E974313" w:rsidR="007C7926" w:rsidRPr="007C7926" w:rsidRDefault="007C7926" w:rsidP="002308BD">
            <w:pPr>
              <w:jc w:val="center"/>
              <w:rPr>
                <w:b/>
                <w:bCs/>
              </w:rPr>
            </w:pPr>
            <w:r>
              <w:rPr>
                <w:b/>
                <w:bCs/>
              </w:rPr>
              <w:t>September</w:t>
            </w:r>
          </w:p>
        </w:tc>
        <w:tc>
          <w:tcPr>
            <w:tcW w:w="1535" w:type="dxa"/>
            <w:shd w:val="clear" w:color="auto" w:fill="BFBFBF" w:themeFill="background1" w:themeFillShade="BF"/>
          </w:tcPr>
          <w:p w14:paraId="170BFDF3" w14:textId="0BEEB0C1" w:rsidR="007C7926" w:rsidRPr="007C7926" w:rsidRDefault="007C7926" w:rsidP="002308BD">
            <w:pPr>
              <w:jc w:val="center"/>
              <w:rPr>
                <w:b/>
                <w:bCs/>
              </w:rPr>
            </w:pPr>
            <w:r w:rsidRPr="007C7926">
              <w:rPr>
                <w:b/>
                <w:bCs/>
              </w:rPr>
              <w:t>October</w:t>
            </w:r>
          </w:p>
        </w:tc>
        <w:tc>
          <w:tcPr>
            <w:tcW w:w="1239" w:type="dxa"/>
            <w:shd w:val="clear" w:color="auto" w:fill="BFBFBF" w:themeFill="background1" w:themeFillShade="BF"/>
          </w:tcPr>
          <w:p w14:paraId="003CF5BC" w14:textId="540028D1" w:rsidR="007C7926" w:rsidRPr="007C7926" w:rsidRDefault="007C7926" w:rsidP="002308BD">
            <w:pPr>
              <w:jc w:val="center"/>
              <w:rPr>
                <w:b/>
                <w:bCs/>
              </w:rPr>
            </w:pPr>
            <w:r w:rsidRPr="007C7926">
              <w:rPr>
                <w:b/>
                <w:bCs/>
              </w:rPr>
              <w:t>February</w:t>
            </w:r>
          </w:p>
        </w:tc>
        <w:tc>
          <w:tcPr>
            <w:tcW w:w="1120" w:type="dxa"/>
            <w:shd w:val="clear" w:color="auto" w:fill="BFBFBF" w:themeFill="background1" w:themeFillShade="BF"/>
          </w:tcPr>
          <w:p w14:paraId="05D5BCE6" w14:textId="69B8A8F1" w:rsidR="007C7926" w:rsidRPr="007C7926" w:rsidRDefault="007C7926" w:rsidP="002308BD">
            <w:pPr>
              <w:jc w:val="center"/>
              <w:rPr>
                <w:b/>
                <w:bCs/>
              </w:rPr>
            </w:pPr>
            <w:r w:rsidRPr="007C7926">
              <w:rPr>
                <w:b/>
                <w:bCs/>
              </w:rPr>
              <w:t>April</w:t>
            </w:r>
          </w:p>
        </w:tc>
      </w:tr>
      <w:tr w:rsidR="007C7926" w14:paraId="62FCBDC5" w14:textId="77777777" w:rsidTr="669F4067">
        <w:tc>
          <w:tcPr>
            <w:tcW w:w="1525" w:type="dxa"/>
          </w:tcPr>
          <w:p w14:paraId="36E32B81" w14:textId="0D26287B" w:rsidR="007C7926" w:rsidRDefault="009F0DE5" w:rsidP="007F28BA">
            <w:r>
              <w:t>All time</w:t>
            </w:r>
          </w:p>
        </w:tc>
        <w:tc>
          <w:tcPr>
            <w:tcW w:w="1236" w:type="dxa"/>
          </w:tcPr>
          <w:p w14:paraId="4408BDAB" w14:textId="31641EC1" w:rsidR="007C7926" w:rsidRDefault="43E0FCA9" w:rsidP="007F28BA">
            <w:r>
              <w:t>29461</w:t>
            </w:r>
          </w:p>
        </w:tc>
        <w:tc>
          <w:tcPr>
            <w:tcW w:w="1191" w:type="dxa"/>
          </w:tcPr>
          <w:p w14:paraId="1E611FBE" w14:textId="76F78A1A" w:rsidR="007C7926" w:rsidRDefault="547F93F5" w:rsidP="007F28BA">
            <w:r>
              <w:t>5081</w:t>
            </w:r>
          </w:p>
        </w:tc>
        <w:tc>
          <w:tcPr>
            <w:tcW w:w="1504" w:type="dxa"/>
            <w:shd w:val="clear" w:color="auto" w:fill="auto"/>
          </w:tcPr>
          <w:p w14:paraId="0F0B6E9A" w14:textId="5E71A8EA" w:rsidR="007C7926" w:rsidRDefault="00A36432" w:rsidP="007F28BA">
            <w:r>
              <w:t>23</w:t>
            </w:r>
            <w:r w:rsidR="6ABC5007">
              <w:t>69</w:t>
            </w:r>
            <w:r w:rsidR="002C1983">
              <w:t>*</w:t>
            </w:r>
          </w:p>
        </w:tc>
        <w:tc>
          <w:tcPr>
            <w:tcW w:w="1535" w:type="dxa"/>
          </w:tcPr>
          <w:p w14:paraId="449ED4B9" w14:textId="595EC763" w:rsidR="007C7926" w:rsidRDefault="6ABC5007" w:rsidP="007F28BA">
            <w:r>
              <w:t>3493</w:t>
            </w:r>
          </w:p>
        </w:tc>
        <w:tc>
          <w:tcPr>
            <w:tcW w:w="1239" w:type="dxa"/>
          </w:tcPr>
          <w:p w14:paraId="1C53A1B0" w14:textId="01A07227" w:rsidR="007C7926" w:rsidRDefault="6ABC5007" w:rsidP="007F28BA">
            <w:r>
              <w:t>3815</w:t>
            </w:r>
          </w:p>
        </w:tc>
        <w:tc>
          <w:tcPr>
            <w:tcW w:w="1120" w:type="dxa"/>
          </w:tcPr>
          <w:p w14:paraId="4F6EA6AB" w14:textId="43291841" w:rsidR="007C7926" w:rsidRDefault="6ABC5007" w:rsidP="007F28BA">
            <w:r>
              <w:t>2830</w:t>
            </w:r>
          </w:p>
        </w:tc>
      </w:tr>
      <w:tr w:rsidR="007C7926" w14:paraId="2DF4D21D" w14:textId="73BC863D" w:rsidTr="00F04D2C">
        <w:tc>
          <w:tcPr>
            <w:tcW w:w="1525" w:type="dxa"/>
            <w:shd w:val="clear" w:color="auto" w:fill="FFFF00"/>
          </w:tcPr>
          <w:p w14:paraId="7E114E4C" w14:textId="4F1DE4C2" w:rsidR="007C7926" w:rsidRDefault="007C7926" w:rsidP="007F28BA">
            <w:r>
              <w:t>Fall 2019</w:t>
            </w:r>
          </w:p>
        </w:tc>
        <w:tc>
          <w:tcPr>
            <w:tcW w:w="1236" w:type="dxa"/>
            <w:shd w:val="clear" w:color="auto" w:fill="FFFF00"/>
          </w:tcPr>
          <w:p w14:paraId="78F5A67A" w14:textId="4E3A6421" w:rsidR="007C7926" w:rsidRDefault="007C7926" w:rsidP="007F28BA">
            <w:r>
              <w:t>3317</w:t>
            </w:r>
          </w:p>
        </w:tc>
        <w:tc>
          <w:tcPr>
            <w:tcW w:w="1191" w:type="dxa"/>
            <w:shd w:val="clear" w:color="auto" w:fill="FFFF00"/>
          </w:tcPr>
          <w:p w14:paraId="00FE9F7A" w14:textId="1C96A6E1" w:rsidR="007C7926" w:rsidRDefault="007C7926" w:rsidP="007F28BA">
            <w:r>
              <w:t>751</w:t>
            </w:r>
          </w:p>
        </w:tc>
        <w:tc>
          <w:tcPr>
            <w:tcW w:w="1504" w:type="dxa"/>
            <w:shd w:val="clear" w:color="auto" w:fill="FFFF00"/>
          </w:tcPr>
          <w:p w14:paraId="030093AE" w14:textId="50801DBF" w:rsidR="007C7926" w:rsidRDefault="004A68D8" w:rsidP="007F28BA">
            <w:r>
              <w:t>Not Available</w:t>
            </w:r>
          </w:p>
        </w:tc>
        <w:tc>
          <w:tcPr>
            <w:tcW w:w="1535" w:type="dxa"/>
            <w:shd w:val="clear" w:color="auto" w:fill="FFFF00"/>
          </w:tcPr>
          <w:p w14:paraId="482E2957" w14:textId="39BC724D" w:rsidR="007C7926" w:rsidRDefault="007C7926" w:rsidP="007F28BA">
            <w:r>
              <w:t>1257</w:t>
            </w:r>
          </w:p>
        </w:tc>
        <w:tc>
          <w:tcPr>
            <w:tcW w:w="1239" w:type="dxa"/>
            <w:shd w:val="clear" w:color="auto" w:fill="000000" w:themeFill="text1"/>
          </w:tcPr>
          <w:p w14:paraId="04A18BB4" w14:textId="7F577220" w:rsidR="007C7926" w:rsidRDefault="007C7926" w:rsidP="007F28BA"/>
        </w:tc>
        <w:tc>
          <w:tcPr>
            <w:tcW w:w="1120" w:type="dxa"/>
            <w:shd w:val="clear" w:color="auto" w:fill="000000" w:themeFill="text1"/>
          </w:tcPr>
          <w:p w14:paraId="2276C554" w14:textId="7870180C" w:rsidR="007C7926" w:rsidRDefault="007C7926" w:rsidP="007F28BA"/>
        </w:tc>
      </w:tr>
      <w:tr w:rsidR="007C7926" w14:paraId="4A133BD5" w14:textId="417CE209" w:rsidTr="00A41E1D">
        <w:tc>
          <w:tcPr>
            <w:tcW w:w="1525" w:type="dxa"/>
            <w:shd w:val="clear" w:color="auto" w:fill="FFC000"/>
          </w:tcPr>
          <w:p w14:paraId="242D7568" w14:textId="2A5E8049" w:rsidR="007C7926" w:rsidRDefault="007C7926" w:rsidP="007F28BA">
            <w:r>
              <w:t>Spring 2020</w:t>
            </w:r>
          </w:p>
        </w:tc>
        <w:tc>
          <w:tcPr>
            <w:tcW w:w="1236" w:type="dxa"/>
            <w:shd w:val="clear" w:color="auto" w:fill="FFC000"/>
          </w:tcPr>
          <w:p w14:paraId="7EFDEC92" w14:textId="40129C38" w:rsidR="007C7926" w:rsidRDefault="007C7926" w:rsidP="007F28BA">
            <w:r>
              <w:t>3951</w:t>
            </w:r>
          </w:p>
        </w:tc>
        <w:tc>
          <w:tcPr>
            <w:tcW w:w="1191" w:type="dxa"/>
            <w:shd w:val="clear" w:color="auto" w:fill="FFC000"/>
          </w:tcPr>
          <w:p w14:paraId="72ABED67" w14:textId="2E6856B4" w:rsidR="007C7926" w:rsidRDefault="007C7926" w:rsidP="007F28BA">
            <w:r>
              <w:t>951</w:t>
            </w:r>
          </w:p>
        </w:tc>
        <w:tc>
          <w:tcPr>
            <w:tcW w:w="1504" w:type="dxa"/>
            <w:shd w:val="clear" w:color="auto" w:fill="000000" w:themeFill="text1"/>
          </w:tcPr>
          <w:p w14:paraId="6E699C6A" w14:textId="6AB337C9" w:rsidR="007C7926" w:rsidRDefault="007C7926" w:rsidP="007F28BA"/>
        </w:tc>
        <w:tc>
          <w:tcPr>
            <w:tcW w:w="1535" w:type="dxa"/>
            <w:shd w:val="clear" w:color="auto" w:fill="000000" w:themeFill="text1"/>
          </w:tcPr>
          <w:p w14:paraId="64A2869E" w14:textId="3200FB3E" w:rsidR="007C7926" w:rsidRDefault="007C7926" w:rsidP="007F28BA"/>
        </w:tc>
        <w:tc>
          <w:tcPr>
            <w:tcW w:w="1239" w:type="dxa"/>
            <w:shd w:val="clear" w:color="auto" w:fill="FFC000"/>
          </w:tcPr>
          <w:p w14:paraId="77FF1088" w14:textId="71D9C99B" w:rsidR="007C7926" w:rsidRDefault="007C7926" w:rsidP="007F28BA">
            <w:r>
              <w:t>1413</w:t>
            </w:r>
          </w:p>
        </w:tc>
        <w:tc>
          <w:tcPr>
            <w:tcW w:w="1120" w:type="dxa"/>
            <w:shd w:val="clear" w:color="auto" w:fill="FFC000"/>
          </w:tcPr>
          <w:p w14:paraId="6EF847C9" w14:textId="3AC12E9C" w:rsidR="007C7926" w:rsidRDefault="007C7926" w:rsidP="007F28BA">
            <w:r>
              <w:t>307</w:t>
            </w:r>
          </w:p>
        </w:tc>
      </w:tr>
      <w:tr w:rsidR="007C7926" w14:paraId="1BDA0A3F" w14:textId="45E6E607" w:rsidTr="00A41E1D">
        <w:tc>
          <w:tcPr>
            <w:tcW w:w="1525" w:type="dxa"/>
            <w:shd w:val="clear" w:color="auto" w:fill="F4B083" w:themeFill="accent2" w:themeFillTint="99"/>
          </w:tcPr>
          <w:p w14:paraId="5EEB2B73" w14:textId="52D6B2CA" w:rsidR="007C7926" w:rsidRDefault="007C7926" w:rsidP="007F28BA">
            <w:r>
              <w:t>Summer 2020</w:t>
            </w:r>
          </w:p>
        </w:tc>
        <w:tc>
          <w:tcPr>
            <w:tcW w:w="1236" w:type="dxa"/>
            <w:shd w:val="clear" w:color="auto" w:fill="F4B083" w:themeFill="accent2" w:themeFillTint="99"/>
          </w:tcPr>
          <w:p w14:paraId="7EEEC925" w14:textId="449C69E9" w:rsidR="007C7926" w:rsidRDefault="007C7926" w:rsidP="007F28BA">
            <w:r>
              <w:t>956</w:t>
            </w:r>
          </w:p>
        </w:tc>
        <w:tc>
          <w:tcPr>
            <w:tcW w:w="1191" w:type="dxa"/>
            <w:shd w:val="clear" w:color="auto" w:fill="F4B083" w:themeFill="accent2" w:themeFillTint="99"/>
          </w:tcPr>
          <w:p w14:paraId="72DB5C44" w14:textId="44766A1E" w:rsidR="007C7926" w:rsidRDefault="007C7926" w:rsidP="007F28BA">
            <w:r>
              <w:t>308</w:t>
            </w:r>
          </w:p>
        </w:tc>
        <w:tc>
          <w:tcPr>
            <w:tcW w:w="1504" w:type="dxa"/>
            <w:shd w:val="clear" w:color="auto" w:fill="000000" w:themeFill="text1"/>
          </w:tcPr>
          <w:p w14:paraId="29A77FA3" w14:textId="659220CB" w:rsidR="007C7926" w:rsidRDefault="007C7926" w:rsidP="007F28BA"/>
        </w:tc>
        <w:tc>
          <w:tcPr>
            <w:tcW w:w="1535" w:type="dxa"/>
            <w:shd w:val="clear" w:color="auto" w:fill="000000" w:themeFill="text1"/>
          </w:tcPr>
          <w:p w14:paraId="19D858F9" w14:textId="03761F0E" w:rsidR="007C7926" w:rsidRDefault="007C7926" w:rsidP="007F28BA"/>
        </w:tc>
        <w:tc>
          <w:tcPr>
            <w:tcW w:w="1239" w:type="dxa"/>
            <w:shd w:val="clear" w:color="auto" w:fill="000000" w:themeFill="text1"/>
          </w:tcPr>
          <w:p w14:paraId="60D21E96" w14:textId="347EE724" w:rsidR="007C7926" w:rsidRDefault="007C7926" w:rsidP="007F28BA"/>
        </w:tc>
        <w:tc>
          <w:tcPr>
            <w:tcW w:w="1120" w:type="dxa"/>
            <w:shd w:val="clear" w:color="auto" w:fill="000000" w:themeFill="text1"/>
          </w:tcPr>
          <w:p w14:paraId="461365B2" w14:textId="05695217" w:rsidR="007C7926" w:rsidRDefault="007C7926" w:rsidP="007F28BA"/>
        </w:tc>
      </w:tr>
      <w:tr w:rsidR="007C7926" w14:paraId="2AEBA08C" w14:textId="71313E9E" w:rsidTr="00F04D2C">
        <w:tc>
          <w:tcPr>
            <w:tcW w:w="1525" w:type="dxa"/>
            <w:shd w:val="clear" w:color="auto" w:fill="FFFF00"/>
          </w:tcPr>
          <w:p w14:paraId="16C7D8CC" w14:textId="557B349E" w:rsidR="007C7926" w:rsidRDefault="007C7926" w:rsidP="007F28BA">
            <w:r>
              <w:t>Fall 2020</w:t>
            </w:r>
          </w:p>
        </w:tc>
        <w:tc>
          <w:tcPr>
            <w:tcW w:w="1236" w:type="dxa"/>
            <w:shd w:val="clear" w:color="auto" w:fill="FFFF00"/>
          </w:tcPr>
          <w:p w14:paraId="0BD4CFA5" w14:textId="184E37DB" w:rsidR="007C7926" w:rsidRDefault="007C7926" w:rsidP="007F28BA">
            <w:r>
              <w:t>1680</w:t>
            </w:r>
          </w:p>
        </w:tc>
        <w:tc>
          <w:tcPr>
            <w:tcW w:w="1191" w:type="dxa"/>
            <w:shd w:val="clear" w:color="auto" w:fill="FFFF00"/>
          </w:tcPr>
          <w:p w14:paraId="29A3D971" w14:textId="4AD03B33" w:rsidR="007C7926" w:rsidRDefault="007C7926" w:rsidP="007F28BA">
            <w:r>
              <w:t>493</w:t>
            </w:r>
          </w:p>
        </w:tc>
        <w:tc>
          <w:tcPr>
            <w:tcW w:w="1504" w:type="dxa"/>
            <w:shd w:val="clear" w:color="auto" w:fill="FFFF00"/>
          </w:tcPr>
          <w:p w14:paraId="7E2EB5FE" w14:textId="154B2FE4" w:rsidR="007C7926" w:rsidRDefault="007C7926" w:rsidP="007F28BA">
            <w:r>
              <w:t>414</w:t>
            </w:r>
          </w:p>
        </w:tc>
        <w:tc>
          <w:tcPr>
            <w:tcW w:w="1535" w:type="dxa"/>
            <w:shd w:val="clear" w:color="auto" w:fill="FFFF00"/>
          </w:tcPr>
          <w:p w14:paraId="6108D54C" w14:textId="7025DEE0" w:rsidR="007C7926" w:rsidRDefault="007C7926" w:rsidP="007F28BA">
            <w:r>
              <w:t>449</w:t>
            </w:r>
          </w:p>
        </w:tc>
        <w:tc>
          <w:tcPr>
            <w:tcW w:w="1239" w:type="dxa"/>
            <w:shd w:val="clear" w:color="auto" w:fill="000000" w:themeFill="text1"/>
          </w:tcPr>
          <w:p w14:paraId="3FF918D9" w14:textId="2E3310C8" w:rsidR="007C7926" w:rsidRDefault="007C7926" w:rsidP="007F28BA"/>
        </w:tc>
        <w:tc>
          <w:tcPr>
            <w:tcW w:w="1120" w:type="dxa"/>
            <w:shd w:val="clear" w:color="auto" w:fill="000000" w:themeFill="text1"/>
          </w:tcPr>
          <w:p w14:paraId="093C3541" w14:textId="58C239DF" w:rsidR="007C7926" w:rsidRDefault="007C7926" w:rsidP="007F28BA"/>
        </w:tc>
      </w:tr>
      <w:tr w:rsidR="007C7926" w14:paraId="723381DA" w14:textId="65D3A9D8" w:rsidTr="00A41E1D">
        <w:tc>
          <w:tcPr>
            <w:tcW w:w="1525" w:type="dxa"/>
            <w:shd w:val="clear" w:color="auto" w:fill="FFC000"/>
          </w:tcPr>
          <w:p w14:paraId="2C7AEFD4" w14:textId="4D120E83" w:rsidR="007C7926" w:rsidRDefault="007C7926" w:rsidP="007F28BA">
            <w:r>
              <w:t>Spring 2021</w:t>
            </w:r>
          </w:p>
        </w:tc>
        <w:tc>
          <w:tcPr>
            <w:tcW w:w="1236" w:type="dxa"/>
            <w:shd w:val="clear" w:color="auto" w:fill="FFC000"/>
          </w:tcPr>
          <w:p w14:paraId="034F711C" w14:textId="4B9156B7" w:rsidR="007C7926" w:rsidRDefault="007C7926" w:rsidP="007F28BA">
            <w:r>
              <w:t>1650</w:t>
            </w:r>
          </w:p>
        </w:tc>
        <w:tc>
          <w:tcPr>
            <w:tcW w:w="1191" w:type="dxa"/>
            <w:shd w:val="clear" w:color="auto" w:fill="FFC000"/>
          </w:tcPr>
          <w:p w14:paraId="6BAE5D7F" w14:textId="6BCA1BC4" w:rsidR="007C7926" w:rsidRDefault="007C7926" w:rsidP="007F28BA">
            <w:r>
              <w:t>487</w:t>
            </w:r>
          </w:p>
        </w:tc>
        <w:tc>
          <w:tcPr>
            <w:tcW w:w="1504" w:type="dxa"/>
            <w:shd w:val="clear" w:color="auto" w:fill="000000" w:themeFill="text1"/>
          </w:tcPr>
          <w:p w14:paraId="19B2F187" w14:textId="422A8E00" w:rsidR="007C7926" w:rsidRDefault="007C7926" w:rsidP="007F28BA"/>
        </w:tc>
        <w:tc>
          <w:tcPr>
            <w:tcW w:w="1535" w:type="dxa"/>
            <w:shd w:val="clear" w:color="auto" w:fill="000000" w:themeFill="text1"/>
          </w:tcPr>
          <w:p w14:paraId="00E87DEC" w14:textId="36B7BF16" w:rsidR="007C7926" w:rsidRDefault="007C7926" w:rsidP="007F28BA"/>
        </w:tc>
        <w:tc>
          <w:tcPr>
            <w:tcW w:w="1239" w:type="dxa"/>
            <w:shd w:val="clear" w:color="auto" w:fill="FFC000"/>
          </w:tcPr>
          <w:p w14:paraId="3FF2D561" w14:textId="4B21F1F9" w:rsidR="007C7926" w:rsidRDefault="007C7926" w:rsidP="007F28BA">
            <w:r>
              <w:t>435</w:t>
            </w:r>
          </w:p>
        </w:tc>
        <w:tc>
          <w:tcPr>
            <w:tcW w:w="1120" w:type="dxa"/>
            <w:shd w:val="clear" w:color="auto" w:fill="FFC000"/>
          </w:tcPr>
          <w:p w14:paraId="0427BC42" w14:textId="29BFB1C5" w:rsidR="007C7926" w:rsidRDefault="007C7926" w:rsidP="007F28BA">
            <w:r>
              <w:t>395</w:t>
            </w:r>
          </w:p>
        </w:tc>
      </w:tr>
      <w:tr w:rsidR="007C7926" w14:paraId="001EA8AF" w14:textId="036DDBF7" w:rsidTr="00A41E1D">
        <w:tc>
          <w:tcPr>
            <w:tcW w:w="1525" w:type="dxa"/>
            <w:shd w:val="clear" w:color="auto" w:fill="F4B083" w:themeFill="accent2" w:themeFillTint="99"/>
          </w:tcPr>
          <w:p w14:paraId="3D096E19" w14:textId="43DC3DA5" w:rsidR="007C7926" w:rsidRDefault="007C7926" w:rsidP="007F28BA">
            <w:r>
              <w:t>Summer 2021</w:t>
            </w:r>
          </w:p>
        </w:tc>
        <w:tc>
          <w:tcPr>
            <w:tcW w:w="1236" w:type="dxa"/>
            <w:shd w:val="clear" w:color="auto" w:fill="F4B083" w:themeFill="accent2" w:themeFillTint="99"/>
          </w:tcPr>
          <w:p w14:paraId="2DD19BA9" w14:textId="2EFA6494" w:rsidR="007C7926" w:rsidRDefault="007C7926" w:rsidP="007F28BA">
            <w:r>
              <w:t>837</w:t>
            </w:r>
          </w:p>
        </w:tc>
        <w:tc>
          <w:tcPr>
            <w:tcW w:w="1191" w:type="dxa"/>
            <w:shd w:val="clear" w:color="auto" w:fill="F4B083" w:themeFill="accent2" w:themeFillTint="99"/>
          </w:tcPr>
          <w:p w14:paraId="5D9FC941" w14:textId="341745C0" w:rsidR="007C7926" w:rsidRDefault="007C7926" w:rsidP="007F28BA">
            <w:r>
              <w:t>325</w:t>
            </w:r>
          </w:p>
        </w:tc>
        <w:tc>
          <w:tcPr>
            <w:tcW w:w="1504" w:type="dxa"/>
            <w:shd w:val="clear" w:color="auto" w:fill="000000" w:themeFill="text1"/>
          </w:tcPr>
          <w:p w14:paraId="5D4D6F6B" w14:textId="5EFD4E75" w:rsidR="007C7926" w:rsidRDefault="007C7926" w:rsidP="007F28BA"/>
        </w:tc>
        <w:tc>
          <w:tcPr>
            <w:tcW w:w="1535" w:type="dxa"/>
            <w:shd w:val="clear" w:color="auto" w:fill="000000" w:themeFill="text1"/>
          </w:tcPr>
          <w:p w14:paraId="7EB85194" w14:textId="28444AFB" w:rsidR="007C7926" w:rsidRDefault="007C7926" w:rsidP="007F28BA"/>
        </w:tc>
        <w:tc>
          <w:tcPr>
            <w:tcW w:w="1239" w:type="dxa"/>
            <w:shd w:val="clear" w:color="auto" w:fill="000000" w:themeFill="text1"/>
          </w:tcPr>
          <w:p w14:paraId="6E98EE2C" w14:textId="3A213D95" w:rsidR="007C7926" w:rsidRDefault="007C7926" w:rsidP="007F28BA"/>
        </w:tc>
        <w:tc>
          <w:tcPr>
            <w:tcW w:w="1120" w:type="dxa"/>
            <w:shd w:val="clear" w:color="auto" w:fill="000000" w:themeFill="text1"/>
          </w:tcPr>
          <w:p w14:paraId="289C37BF" w14:textId="78178A4A" w:rsidR="007C7926" w:rsidRDefault="007C7926" w:rsidP="007F28BA"/>
        </w:tc>
      </w:tr>
      <w:tr w:rsidR="007C7926" w14:paraId="433A7A39" w14:textId="0C1369E4" w:rsidTr="00F04D2C">
        <w:tc>
          <w:tcPr>
            <w:tcW w:w="1525" w:type="dxa"/>
            <w:shd w:val="clear" w:color="auto" w:fill="FFFF00"/>
          </w:tcPr>
          <w:p w14:paraId="3339F640" w14:textId="413C0675" w:rsidR="007C7926" w:rsidRDefault="007C7926" w:rsidP="007F28BA">
            <w:r>
              <w:t>Fall 2021</w:t>
            </w:r>
          </w:p>
        </w:tc>
        <w:tc>
          <w:tcPr>
            <w:tcW w:w="1236" w:type="dxa"/>
            <w:shd w:val="clear" w:color="auto" w:fill="FFFF00"/>
          </w:tcPr>
          <w:p w14:paraId="51A8C353" w14:textId="79F66463" w:rsidR="007C7926" w:rsidRDefault="007C7926" w:rsidP="007F28BA">
            <w:r>
              <w:t>2043</w:t>
            </w:r>
          </w:p>
        </w:tc>
        <w:tc>
          <w:tcPr>
            <w:tcW w:w="1191" w:type="dxa"/>
            <w:shd w:val="clear" w:color="auto" w:fill="FFFF00"/>
          </w:tcPr>
          <w:p w14:paraId="3FC76698" w14:textId="08E3786F" w:rsidR="007C7926" w:rsidRDefault="007C7926" w:rsidP="007F28BA">
            <w:r>
              <w:t>625</w:t>
            </w:r>
          </w:p>
        </w:tc>
        <w:tc>
          <w:tcPr>
            <w:tcW w:w="1504" w:type="dxa"/>
            <w:shd w:val="clear" w:color="auto" w:fill="FFFF00"/>
          </w:tcPr>
          <w:p w14:paraId="525A39B8" w14:textId="549E62D7" w:rsidR="007C7926" w:rsidRDefault="007C7926" w:rsidP="007F28BA">
            <w:r>
              <w:t>544</w:t>
            </w:r>
          </w:p>
        </w:tc>
        <w:tc>
          <w:tcPr>
            <w:tcW w:w="1535" w:type="dxa"/>
            <w:shd w:val="clear" w:color="auto" w:fill="FFFF00"/>
          </w:tcPr>
          <w:p w14:paraId="6A651744" w14:textId="410A8DEC" w:rsidR="007C7926" w:rsidRDefault="007C7926" w:rsidP="007F28BA">
            <w:r>
              <w:t>476</w:t>
            </w:r>
          </w:p>
        </w:tc>
        <w:tc>
          <w:tcPr>
            <w:tcW w:w="1239" w:type="dxa"/>
            <w:shd w:val="clear" w:color="auto" w:fill="000000" w:themeFill="text1"/>
          </w:tcPr>
          <w:p w14:paraId="2A03D3C1" w14:textId="2924C792" w:rsidR="007C7926" w:rsidRDefault="007C7926" w:rsidP="007F28BA"/>
        </w:tc>
        <w:tc>
          <w:tcPr>
            <w:tcW w:w="1120" w:type="dxa"/>
            <w:shd w:val="clear" w:color="auto" w:fill="000000" w:themeFill="text1"/>
          </w:tcPr>
          <w:p w14:paraId="5FD1F896" w14:textId="75967C20" w:rsidR="007C7926" w:rsidRDefault="007C7926" w:rsidP="007F28BA"/>
        </w:tc>
      </w:tr>
      <w:tr w:rsidR="007C7926" w14:paraId="19B63E62" w14:textId="153A8B81" w:rsidTr="00A41E1D">
        <w:tc>
          <w:tcPr>
            <w:tcW w:w="1525" w:type="dxa"/>
            <w:shd w:val="clear" w:color="auto" w:fill="FFC000"/>
          </w:tcPr>
          <w:p w14:paraId="17D1942A" w14:textId="700C18EC" w:rsidR="007C7926" w:rsidRDefault="007C7926" w:rsidP="007F28BA">
            <w:r>
              <w:t>Spring 2022</w:t>
            </w:r>
          </w:p>
        </w:tc>
        <w:tc>
          <w:tcPr>
            <w:tcW w:w="1236" w:type="dxa"/>
            <w:shd w:val="clear" w:color="auto" w:fill="FFC000"/>
          </w:tcPr>
          <w:p w14:paraId="5E2DD072" w14:textId="29FA1D34" w:rsidR="007C7926" w:rsidRDefault="007C7926" w:rsidP="007F28BA">
            <w:r>
              <w:t>2875</w:t>
            </w:r>
          </w:p>
        </w:tc>
        <w:tc>
          <w:tcPr>
            <w:tcW w:w="1191" w:type="dxa"/>
            <w:shd w:val="clear" w:color="auto" w:fill="FFC000"/>
          </w:tcPr>
          <w:p w14:paraId="25000168" w14:textId="6FEAD42D" w:rsidR="007C7926" w:rsidRDefault="007C7926" w:rsidP="007F28BA">
            <w:r>
              <w:t>755</w:t>
            </w:r>
          </w:p>
        </w:tc>
        <w:tc>
          <w:tcPr>
            <w:tcW w:w="1504" w:type="dxa"/>
            <w:shd w:val="clear" w:color="auto" w:fill="000000" w:themeFill="text1"/>
          </w:tcPr>
          <w:p w14:paraId="1EA2804E" w14:textId="29377DC2" w:rsidR="007C7926" w:rsidRDefault="007C7926" w:rsidP="007F28BA"/>
        </w:tc>
        <w:tc>
          <w:tcPr>
            <w:tcW w:w="1535" w:type="dxa"/>
            <w:shd w:val="clear" w:color="auto" w:fill="000000" w:themeFill="text1"/>
          </w:tcPr>
          <w:p w14:paraId="5B20F079" w14:textId="4730764F" w:rsidR="007C7926" w:rsidRDefault="007C7926" w:rsidP="007F28BA"/>
        </w:tc>
        <w:tc>
          <w:tcPr>
            <w:tcW w:w="1239" w:type="dxa"/>
            <w:shd w:val="clear" w:color="auto" w:fill="FFC000"/>
          </w:tcPr>
          <w:p w14:paraId="676F74D0" w14:textId="6F240909" w:rsidR="007C7926" w:rsidRDefault="007C7926" w:rsidP="007F28BA">
            <w:r>
              <w:t>715</w:t>
            </w:r>
          </w:p>
        </w:tc>
        <w:tc>
          <w:tcPr>
            <w:tcW w:w="1120" w:type="dxa"/>
            <w:shd w:val="clear" w:color="auto" w:fill="FFC000"/>
          </w:tcPr>
          <w:p w14:paraId="020694C1" w14:textId="5198DCA7" w:rsidR="007C7926" w:rsidRDefault="007C7926" w:rsidP="007F28BA">
            <w:r>
              <w:t>766</w:t>
            </w:r>
          </w:p>
        </w:tc>
      </w:tr>
      <w:tr w:rsidR="007C7926" w14:paraId="4B88256F" w14:textId="51856F21" w:rsidTr="00A41E1D">
        <w:tc>
          <w:tcPr>
            <w:tcW w:w="1525" w:type="dxa"/>
            <w:shd w:val="clear" w:color="auto" w:fill="F4B083" w:themeFill="accent2" w:themeFillTint="99"/>
          </w:tcPr>
          <w:p w14:paraId="2D894107" w14:textId="0FC82E47" w:rsidR="007C7926" w:rsidRDefault="007C7926" w:rsidP="007F28BA">
            <w:r>
              <w:t>Summer 2022</w:t>
            </w:r>
          </w:p>
        </w:tc>
        <w:tc>
          <w:tcPr>
            <w:tcW w:w="1236" w:type="dxa"/>
            <w:shd w:val="clear" w:color="auto" w:fill="F4B083" w:themeFill="accent2" w:themeFillTint="99"/>
          </w:tcPr>
          <w:p w14:paraId="059086AF" w14:textId="4F916A9E" w:rsidR="007C7926" w:rsidRDefault="007C7926" w:rsidP="007F28BA">
            <w:r>
              <w:t>2540</w:t>
            </w:r>
          </w:p>
        </w:tc>
        <w:tc>
          <w:tcPr>
            <w:tcW w:w="1191" w:type="dxa"/>
            <w:shd w:val="clear" w:color="auto" w:fill="F4B083" w:themeFill="accent2" w:themeFillTint="99"/>
          </w:tcPr>
          <w:p w14:paraId="7826F326" w14:textId="723B25D6" w:rsidR="007C7926" w:rsidRDefault="007C7926" w:rsidP="007F28BA">
            <w:r>
              <w:t>711</w:t>
            </w:r>
          </w:p>
        </w:tc>
        <w:tc>
          <w:tcPr>
            <w:tcW w:w="1504" w:type="dxa"/>
            <w:shd w:val="clear" w:color="auto" w:fill="000000" w:themeFill="text1"/>
          </w:tcPr>
          <w:p w14:paraId="148B9296" w14:textId="3700F71B" w:rsidR="007C7926" w:rsidRDefault="007C7926" w:rsidP="007F28BA"/>
        </w:tc>
        <w:tc>
          <w:tcPr>
            <w:tcW w:w="1535" w:type="dxa"/>
            <w:shd w:val="clear" w:color="auto" w:fill="000000" w:themeFill="text1"/>
          </w:tcPr>
          <w:p w14:paraId="49834202" w14:textId="511BEA86" w:rsidR="007C7926" w:rsidRDefault="007C7926" w:rsidP="007F28BA"/>
        </w:tc>
        <w:tc>
          <w:tcPr>
            <w:tcW w:w="1239" w:type="dxa"/>
            <w:shd w:val="clear" w:color="auto" w:fill="000000" w:themeFill="text1"/>
          </w:tcPr>
          <w:p w14:paraId="11E67916" w14:textId="089B83CC" w:rsidR="007C7926" w:rsidRDefault="007C7926" w:rsidP="007F28BA"/>
        </w:tc>
        <w:tc>
          <w:tcPr>
            <w:tcW w:w="1120" w:type="dxa"/>
            <w:shd w:val="clear" w:color="auto" w:fill="000000" w:themeFill="text1"/>
          </w:tcPr>
          <w:p w14:paraId="0705159E" w14:textId="0308EDE8" w:rsidR="007C7926" w:rsidRDefault="007C7926" w:rsidP="007F28BA"/>
        </w:tc>
      </w:tr>
      <w:tr w:rsidR="007C7926" w14:paraId="25989366" w14:textId="691B0398" w:rsidTr="00F04D2C">
        <w:tc>
          <w:tcPr>
            <w:tcW w:w="1525" w:type="dxa"/>
            <w:shd w:val="clear" w:color="auto" w:fill="FFFF00"/>
          </w:tcPr>
          <w:p w14:paraId="1AC73ED0" w14:textId="5338F208" w:rsidR="007C7926" w:rsidRDefault="007C7926" w:rsidP="007F28BA">
            <w:r>
              <w:t>Fall 2022</w:t>
            </w:r>
          </w:p>
        </w:tc>
        <w:tc>
          <w:tcPr>
            <w:tcW w:w="1236" w:type="dxa"/>
            <w:shd w:val="clear" w:color="auto" w:fill="FFFF00"/>
          </w:tcPr>
          <w:p w14:paraId="68C16A6E" w14:textId="6415A26B" w:rsidR="007C7926" w:rsidRDefault="007C7926" w:rsidP="007F28BA">
            <w:r>
              <w:t>4413</w:t>
            </w:r>
          </w:p>
        </w:tc>
        <w:tc>
          <w:tcPr>
            <w:tcW w:w="1191" w:type="dxa"/>
            <w:shd w:val="clear" w:color="auto" w:fill="FFFF00"/>
          </w:tcPr>
          <w:p w14:paraId="1A8D86EE" w14:textId="7B88C327" w:rsidR="007C7926" w:rsidRDefault="00A36432" w:rsidP="007F28BA">
            <w:r>
              <w:t>1239</w:t>
            </w:r>
          </w:p>
        </w:tc>
        <w:tc>
          <w:tcPr>
            <w:tcW w:w="1504" w:type="dxa"/>
            <w:shd w:val="clear" w:color="auto" w:fill="FFFF00"/>
          </w:tcPr>
          <w:p w14:paraId="5F1CF8FE" w14:textId="0D99320E" w:rsidR="007C7926" w:rsidRDefault="00A36432" w:rsidP="007F28BA">
            <w:r>
              <w:t>1441</w:t>
            </w:r>
          </w:p>
        </w:tc>
        <w:tc>
          <w:tcPr>
            <w:tcW w:w="1535" w:type="dxa"/>
            <w:shd w:val="clear" w:color="auto" w:fill="FFFF00"/>
          </w:tcPr>
          <w:p w14:paraId="75890BDA" w14:textId="49B44C6E" w:rsidR="007C7926" w:rsidRDefault="00A36432" w:rsidP="007F28BA">
            <w:r>
              <w:t>1311</w:t>
            </w:r>
          </w:p>
        </w:tc>
        <w:tc>
          <w:tcPr>
            <w:tcW w:w="1239" w:type="dxa"/>
            <w:shd w:val="clear" w:color="auto" w:fill="000000" w:themeFill="text1"/>
          </w:tcPr>
          <w:p w14:paraId="4F8D892D" w14:textId="1DC91B7E" w:rsidR="007C7926" w:rsidRDefault="007C7926" w:rsidP="007F28BA"/>
        </w:tc>
        <w:tc>
          <w:tcPr>
            <w:tcW w:w="1120" w:type="dxa"/>
            <w:shd w:val="clear" w:color="auto" w:fill="000000" w:themeFill="text1"/>
          </w:tcPr>
          <w:p w14:paraId="4C65DD12" w14:textId="3B148899" w:rsidR="007C7926" w:rsidRDefault="007C7926" w:rsidP="007F28BA"/>
        </w:tc>
      </w:tr>
      <w:tr w:rsidR="669F4067" w14:paraId="2AF49777" w14:textId="77777777" w:rsidTr="00A41E1D">
        <w:trPr>
          <w:trHeight w:val="300"/>
        </w:trPr>
        <w:tc>
          <w:tcPr>
            <w:tcW w:w="1525" w:type="dxa"/>
            <w:shd w:val="clear" w:color="auto" w:fill="FFC000"/>
          </w:tcPr>
          <w:p w14:paraId="6CBCD154" w14:textId="4D7E123A" w:rsidR="5244AE15" w:rsidRDefault="5244AE15" w:rsidP="007F28BA">
            <w:r>
              <w:t>Spring 2023</w:t>
            </w:r>
          </w:p>
        </w:tc>
        <w:tc>
          <w:tcPr>
            <w:tcW w:w="1236" w:type="dxa"/>
            <w:shd w:val="clear" w:color="auto" w:fill="FFC000"/>
          </w:tcPr>
          <w:p w14:paraId="23C75DED" w14:textId="45570C20" w:rsidR="5244AE15" w:rsidRDefault="5244AE15" w:rsidP="007F28BA">
            <w:r>
              <w:t>5199</w:t>
            </w:r>
          </w:p>
        </w:tc>
        <w:tc>
          <w:tcPr>
            <w:tcW w:w="1191" w:type="dxa"/>
            <w:shd w:val="clear" w:color="auto" w:fill="FFC000"/>
          </w:tcPr>
          <w:p w14:paraId="1227F866" w14:textId="1CEFA319" w:rsidR="5244AE15" w:rsidRDefault="5244AE15" w:rsidP="007F28BA">
            <w:r>
              <w:t>1371</w:t>
            </w:r>
          </w:p>
        </w:tc>
        <w:tc>
          <w:tcPr>
            <w:tcW w:w="1504" w:type="dxa"/>
            <w:shd w:val="clear" w:color="auto" w:fill="000000" w:themeFill="text1"/>
          </w:tcPr>
          <w:p w14:paraId="00E595CB" w14:textId="58CAE676" w:rsidR="669F4067" w:rsidRDefault="669F4067" w:rsidP="007F28BA"/>
        </w:tc>
        <w:tc>
          <w:tcPr>
            <w:tcW w:w="1535" w:type="dxa"/>
            <w:shd w:val="clear" w:color="auto" w:fill="000000" w:themeFill="text1"/>
          </w:tcPr>
          <w:p w14:paraId="04DC755E" w14:textId="522D2D49" w:rsidR="669F4067" w:rsidRDefault="669F4067" w:rsidP="007F28BA"/>
        </w:tc>
        <w:tc>
          <w:tcPr>
            <w:tcW w:w="1239" w:type="dxa"/>
            <w:shd w:val="clear" w:color="auto" w:fill="FFC000"/>
          </w:tcPr>
          <w:p w14:paraId="0D5E2998" w14:textId="25C32A52" w:rsidR="662B2FA5" w:rsidRDefault="662B2FA5" w:rsidP="007F28BA">
            <w:r>
              <w:t>1252</w:t>
            </w:r>
          </w:p>
        </w:tc>
        <w:tc>
          <w:tcPr>
            <w:tcW w:w="1120" w:type="dxa"/>
            <w:shd w:val="clear" w:color="auto" w:fill="FFC000"/>
          </w:tcPr>
          <w:p w14:paraId="3D2AD4BA" w14:textId="04D16F31" w:rsidR="79BDA907" w:rsidRDefault="79BDA907" w:rsidP="007F28BA">
            <w:r>
              <w:t>1362</w:t>
            </w:r>
          </w:p>
        </w:tc>
      </w:tr>
    </w:tbl>
    <w:p w14:paraId="154E92CD" w14:textId="2C391784" w:rsidR="00644B6D" w:rsidRDefault="00E3371F" w:rsidP="007F28BA">
      <w:pPr>
        <w:spacing w:after="0" w:line="240" w:lineRule="auto"/>
        <w:rPr>
          <w:i/>
          <w:iCs/>
        </w:rPr>
      </w:pPr>
      <w:r>
        <w:t>*</w:t>
      </w:r>
      <w:r w:rsidR="00BD159F">
        <w:rPr>
          <w:i/>
          <w:iCs/>
        </w:rPr>
        <w:t xml:space="preserve">Data </w:t>
      </w:r>
      <w:r w:rsidR="00D716FA">
        <w:rPr>
          <w:i/>
          <w:iCs/>
        </w:rPr>
        <w:t>collection began in October 2019.</w:t>
      </w:r>
    </w:p>
    <w:p w14:paraId="39DB896C" w14:textId="77777777" w:rsidR="007F28BA" w:rsidRDefault="007F28BA" w:rsidP="007F28BA">
      <w:pPr>
        <w:spacing w:after="0" w:line="240" w:lineRule="auto"/>
      </w:pPr>
    </w:p>
    <w:p w14:paraId="496CFDF7" w14:textId="1F3D30AC" w:rsidR="00EB26EB" w:rsidRDefault="00EB2B64" w:rsidP="007F28BA">
      <w:pPr>
        <w:spacing w:after="0" w:line="240" w:lineRule="auto"/>
      </w:pPr>
      <w:r>
        <w:t>Graph 1: Bruin Pantry visits &amp; visitors per term</w:t>
      </w:r>
    </w:p>
    <w:p w14:paraId="5B7C66B2" w14:textId="0CB3BE94" w:rsidR="009F0DE5" w:rsidRDefault="004E0498">
      <w:r>
        <w:rPr>
          <w:noProof/>
        </w:rPr>
        <w:drawing>
          <wp:anchor distT="0" distB="0" distL="114300" distR="114300" simplePos="0" relativeHeight="251658240" behindDoc="0" locked="0" layoutInCell="1" allowOverlap="1" wp14:anchorId="66A2D9D4" wp14:editId="4AF92A88">
            <wp:simplePos x="0" y="0"/>
            <wp:positionH relativeFrom="column">
              <wp:posOffset>2235200</wp:posOffset>
            </wp:positionH>
            <wp:positionV relativeFrom="paragraph">
              <wp:posOffset>662305</wp:posOffset>
            </wp:positionV>
            <wp:extent cx="844550" cy="877284"/>
            <wp:effectExtent l="19050" t="19050" r="12700" b="184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44550" cy="877284"/>
                    </a:xfrm>
                    <a:prstGeom prst="rect">
                      <a:avLst/>
                    </a:prstGeom>
                    <a:ln>
                      <a:solidFill>
                        <a:schemeClr val="bg1">
                          <a:lumMod val="85000"/>
                        </a:schemeClr>
                      </a:solidFill>
                    </a:ln>
                  </pic:spPr>
                </pic:pic>
              </a:graphicData>
            </a:graphic>
            <wp14:sizeRelH relativeFrom="page">
              <wp14:pctWidth>0</wp14:pctWidth>
            </wp14:sizeRelH>
            <wp14:sizeRelV relativeFrom="page">
              <wp14:pctHeight>0</wp14:pctHeight>
            </wp14:sizeRelV>
          </wp:anchor>
        </w:drawing>
      </w:r>
      <w:r w:rsidR="00DB0BD2">
        <w:rPr>
          <w:noProof/>
        </w:rPr>
        <w:drawing>
          <wp:inline distT="0" distB="0" distL="0" distR="0" wp14:anchorId="0D69376E" wp14:editId="7466B079">
            <wp:extent cx="5943600" cy="33991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399155"/>
                    </a:xfrm>
                    <a:prstGeom prst="rect">
                      <a:avLst/>
                    </a:prstGeom>
                  </pic:spPr>
                </pic:pic>
              </a:graphicData>
            </a:graphic>
          </wp:inline>
        </w:drawing>
      </w:r>
      <w:r w:rsidRPr="004E0498">
        <w:rPr>
          <w:noProof/>
        </w:rPr>
        <w:t xml:space="preserve"> </w:t>
      </w:r>
      <w:r w:rsidR="009F0DE5">
        <w:br w:type="page"/>
      </w:r>
    </w:p>
    <w:p w14:paraId="77752876" w14:textId="4049DC8D" w:rsidR="00F927B4" w:rsidRPr="00F927B4" w:rsidRDefault="00BD208A" w:rsidP="007F28BA">
      <w:pPr>
        <w:spacing w:after="0" w:line="240" w:lineRule="auto"/>
      </w:pPr>
      <w:r>
        <w:lastRenderedPageBreak/>
        <w:t xml:space="preserve">Chart 2: </w:t>
      </w:r>
      <w:r w:rsidR="00954A89">
        <w:t>Bruin Pantry d</w:t>
      </w:r>
      <w:r w:rsidR="00197359">
        <w:t>emographic changes y</w:t>
      </w:r>
      <w:r w:rsidR="00F927B4">
        <w:t>ear 1</w:t>
      </w:r>
      <w:r w:rsidR="00954A89">
        <w:t xml:space="preserve"> to year 3.5</w:t>
      </w:r>
    </w:p>
    <w:tbl>
      <w:tblPr>
        <w:tblStyle w:val="TableGrid"/>
        <w:tblW w:w="0" w:type="auto"/>
        <w:tblLook w:val="04A0" w:firstRow="1" w:lastRow="0" w:firstColumn="1" w:lastColumn="0" w:noHBand="0" w:noVBand="1"/>
      </w:tblPr>
      <w:tblGrid>
        <w:gridCol w:w="1436"/>
        <w:gridCol w:w="1743"/>
        <w:gridCol w:w="1539"/>
        <w:gridCol w:w="1539"/>
        <w:gridCol w:w="1550"/>
        <w:gridCol w:w="1543"/>
      </w:tblGrid>
      <w:tr w:rsidR="00A3637F" w14:paraId="224F983A" w14:textId="0688A0DF" w:rsidTr="002308BD">
        <w:tc>
          <w:tcPr>
            <w:tcW w:w="1400" w:type="dxa"/>
            <w:shd w:val="clear" w:color="auto" w:fill="BFBFBF" w:themeFill="background1" w:themeFillShade="BF"/>
          </w:tcPr>
          <w:p w14:paraId="095D5C9C" w14:textId="136624D7" w:rsidR="00AE6FA2" w:rsidRDefault="00AE6FA2" w:rsidP="002308BD">
            <w:pPr>
              <w:jc w:val="center"/>
              <w:rPr>
                <w:b/>
                <w:bCs/>
              </w:rPr>
            </w:pPr>
            <w:r>
              <w:rPr>
                <w:b/>
                <w:bCs/>
              </w:rPr>
              <w:t>Demo</w:t>
            </w:r>
            <w:r w:rsidR="0048390A">
              <w:rPr>
                <w:b/>
                <w:bCs/>
              </w:rPr>
              <w:t>graphic</w:t>
            </w:r>
          </w:p>
        </w:tc>
        <w:tc>
          <w:tcPr>
            <w:tcW w:w="1746" w:type="dxa"/>
            <w:shd w:val="clear" w:color="auto" w:fill="BFBFBF" w:themeFill="background1" w:themeFillShade="BF"/>
          </w:tcPr>
          <w:p w14:paraId="687560C8" w14:textId="4681A2EC" w:rsidR="00AE6FA2" w:rsidRPr="0048390A" w:rsidRDefault="0048390A" w:rsidP="002308BD">
            <w:pPr>
              <w:jc w:val="center"/>
              <w:rPr>
                <w:b/>
                <w:bCs/>
              </w:rPr>
            </w:pPr>
            <w:r>
              <w:rPr>
                <w:b/>
                <w:bCs/>
              </w:rPr>
              <w:t>Group</w:t>
            </w:r>
          </w:p>
        </w:tc>
        <w:tc>
          <w:tcPr>
            <w:tcW w:w="1548" w:type="dxa"/>
            <w:shd w:val="clear" w:color="auto" w:fill="BFBFBF" w:themeFill="background1" w:themeFillShade="BF"/>
          </w:tcPr>
          <w:p w14:paraId="7A0EC11A" w14:textId="200B6588" w:rsidR="00AE6FA2" w:rsidRPr="0048390A" w:rsidRDefault="00A3637F" w:rsidP="002308BD">
            <w:pPr>
              <w:jc w:val="center"/>
              <w:rPr>
                <w:b/>
                <w:bCs/>
              </w:rPr>
            </w:pPr>
            <w:r>
              <w:rPr>
                <w:b/>
                <w:bCs/>
              </w:rPr>
              <w:t>Year 1</w:t>
            </w:r>
          </w:p>
        </w:tc>
        <w:tc>
          <w:tcPr>
            <w:tcW w:w="1547" w:type="dxa"/>
            <w:shd w:val="clear" w:color="auto" w:fill="BFBFBF" w:themeFill="background1" w:themeFillShade="BF"/>
          </w:tcPr>
          <w:p w14:paraId="23130A98" w14:textId="3519C331" w:rsidR="00AE6FA2" w:rsidRPr="0048390A" w:rsidRDefault="00AE6FA2" w:rsidP="002308BD">
            <w:pPr>
              <w:jc w:val="center"/>
              <w:rPr>
                <w:b/>
                <w:bCs/>
              </w:rPr>
            </w:pPr>
            <w:r w:rsidRPr="0048390A">
              <w:rPr>
                <w:b/>
                <w:bCs/>
              </w:rPr>
              <w:t xml:space="preserve">% </w:t>
            </w:r>
            <w:r w:rsidR="00AE2A25">
              <w:rPr>
                <w:b/>
                <w:bCs/>
              </w:rPr>
              <w:t>Year 1</w:t>
            </w:r>
          </w:p>
        </w:tc>
        <w:tc>
          <w:tcPr>
            <w:tcW w:w="1558" w:type="dxa"/>
            <w:shd w:val="clear" w:color="auto" w:fill="BFBFBF" w:themeFill="background1" w:themeFillShade="BF"/>
          </w:tcPr>
          <w:p w14:paraId="2C8A1E58" w14:textId="54B25EEE" w:rsidR="00AE6FA2" w:rsidRPr="0048390A" w:rsidRDefault="00AE2A25" w:rsidP="002308BD">
            <w:pPr>
              <w:jc w:val="center"/>
              <w:rPr>
                <w:b/>
                <w:bCs/>
              </w:rPr>
            </w:pPr>
            <w:r>
              <w:rPr>
                <w:b/>
                <w:bCs/>
              </w:rPr>
              <w:t>Year 3.5</w:t>
            </w:r>
          </w:p>
        </w:tc>
        <w:tc>
          <w:tcPr>
            <w:tcW w:w="1551" w:type="dxa"/>
            <w:shd w:val="clear" w:color="auto" w:fill="BFBFBF" w:themeFill="background1" w:themeFillShade="BF"/>
          </w:tcPr>
          <w:p w14:paraId="429043A8" w14:textId="79824654" w:rsidR="00AE6FA2" w:rsidRPr="0048390A" w:rsidRDefault="00AE2A25" w:rsidP="002308BD">
            <w:pPr>
              <w:jc w:val="center"/>
              <w:rPr>
                <w:b/>
                <w:bCs/>
              </w:rPr>
            </w:pPr>
            <w:r>
              <w:rPr>
                <w:b/>
                <w:bCs/>
              </w:rPr>
              <w:t xml:space="preserve">% </w:t>
            </w:r>
            <w:r w:rsidR="00A3637F">
              <w:rPr>
                <w:b/>
                <w:bCs/>
              </w:rPr>
              <w:t>Year 3.5</w:t>
            </w:r>
          </w:p>
        </w:tc>
      </w:tr>
      <w:tr w:rsidR="00A3637F" w14:paraId="18FD9FCC" w14:textId="1468BA09" w:rsidTr="00AE6FA2">
        <w:tc>
          <w:tcPr>
            <w:tcW w:w="1400" w:type="dxa"/>
          </w:tcPr>
          <w:p w14:paraId="374B3544" w14:textId="6464AFFA" w:rsidR="00AE6FA2" w:rsidRDefault="00AE6FA2" w:rsidP="007F28BA">
            <w:r>
              <w:t>All</w:t>
            </w:r>
          </w:p>
        </w:tc>
        <w:tc>
          <w:tcPr>
            <w:tcW w:w="1746" w:type="dxa"/>
          </w:tcPr>
          <w:p w14:paraId="628FBF89" w14:textId="752F6BE5" w:rsidR="00AE6FA2" w:rsidRDefault="00AE6FA2" w:rsidP="007F28BA">
            <w:r>
              <w:t>Visits</w:t>
            </w:r>
          </w:p>
        </w:tc>
        <w:tc>
          <w:tcPr>
            <w:tcW w:w="1548" w:type="dxa"/>
          </w:tcPr>
          <w:p w14:paraId="3FB3DC23" w14:textId="7E20D762" w:rsidR="00AE6FA2" w:rsidRDefault="00AE6FA2" w:rsidP="007F28BA">
            <w:r>
              <w:t>8224</w:t>
            </w:r>
          </w:p>
        </w:tc>
        <w:tc>
          <w:tcPr>
            <w:tcW w:w="1547" w:type="dxa"/>
          </w:tcPr>
          <w:p w14:paraId="7210FDBC" w14:textId="77777777" w:rsidR="00AE6FA2" w:rsidRDefault="00AE6FA2" w:rsidP="007F28BA"/>
        </w:tc>
        <w:tc>
          <w:tcPr>
            <w:tcW w:w="1558" w:type="dxa"/>
          </w:tcPr>
          <w:p w14:paraId="10E2F908" w14:textId="6F2443F5" w:rsidR="00AE6FA2" w:rsidRDefault="00AE6FA2" w:rsidP="007F28BA">
            <w:r>
              <w:t>13095</w:t>
            </w:r>
          </w:p>
        </w:tc>
        <w:tc>
          <w:tcPr>
            <w:tcW w:w="1551" w:type="dxa"/>
          </w:tcPr>
          <w:p w14:paraId="10B5AA36" w14:textId="77777777" w:rsidR="00AE6FA2" w:rsidRDefault="00AE6FA2" w:rsidP="007F28BA"/>
        </w:tc>
      </w:tr>
      <w:tr w:rsidR="00A3637F" w14:paraId="5276617C" w14:textId="51C77C5A" w:rsidTr="00AE6FA2">
        <w:tc>
          <w:tcPr>
            <w:tcW w:w="1400" w:type="dxa"/>
          </w:tcPr>
          <w:p w14:paraId="6B262323" w14:textId="14DD77F2" w:rsidR="00AE6FA2" w:rsidRDefault="00AE6FA2" w:rsidP="007F28BA">
            <w:r>
              <w:t>All</w:t>
            </w:r>
          </w:p>
        </w:tc>
        <w:tc>
          <w:tcPr>
            <w:tcW w:w="1746" w:type="dxa"/>
          </w:tcPr>
          <w:p w14:paraId="54E80417" w14:textId="1E1372C1" w:rsidR="00AE6FA2" w:rsidRDefault="00AE6FA2" w:rsidP="007F28BA">
            <w:r>
              <w:t>Visitors</w:t>
            </w:r>
          </w:p>
        </w:tc>
        <w:tc>
          <w:tcPr>
            <w:tcW w:w="1548" w:type="dxa"/>
          </w:tcPr>
          <w:p w14:paraId="63F1BBEC" w14:textId="0E1DA3D0" w:rsidR="00AE6FA2" w:rsidRDefault="00AE6FA2" w:rsidP="007F28BA">
            <w:r>
              <w:t>1425</w:t>
            </w:r>
          </w:p>
        </w:tc>
        <w:tc>
          <w:tcPr>
            <w:tcW w:w="1547" w:type="dxa"/>
          </w:tcPr>
          <w:p w14:paraId="4BC33735" w14:textId="77777777" w:rsidR="00AE6FA2" w:rsidRDefault="00AE6FA2" w:rsidP="007F28BA"/>
        </w:tc>
        <w:tc>
          <w:tcPr>
            <w:tcW w:w="1558" w:type="dxa"/>
          </w:tcPr>
          <w:p w14:paraId="1B29CA5E" w14:textId="6EB21442" w:rsidR="00AE6FA2" w:rsidRDefault="00AE6FA2" w:rsidP="007F28BA">
            <w:r>
              <w:t>2660</w:t>
            </w:r>
          </w:p>
        </w:tc>
        <w:tc>
          <w:tcPr>
            <w:tcW w:w="1551" w:type="dxa"/>
          </w:tcPr>
          <w:p w14:paraId="6CFA7916" w14:textId="68E0BB0B" w:rsidR="00AE6FA2" w:rsidRDefault="00AE6FA2" w:rsidP="007F28BA"/>
        </w:tc>
      </w:tr>
      <w:tr w:rsidR="00F419E5" w14:paraId="37952AF9" w14:textId="77777777" w:rsidTr="0048390A">
        <w:tc>
          <w:tcPr>
            <w:tcW w:w="1400" w:type="dxa"/>
            <w:shd w:val="clear" w:color="auto" w:fill="F2F2F2" w:themeFill="background1" w:themeFillShade="F2"/>
          </w:tcPr>
          <w:p w14:paraId="6EA34F9A" w14:textId="7C0D3227" w:rsidR="00F419E5" w:rsidRDefault="00F419E5" w:rsidP="007F28BA">
            <w:r>
              <w:t>Location</w:t>
            </w:r>
          </w:p>
        </w:tc>
        <w:tc>
          <w:tcPr>
            <w:tcW w:w="1746" w:type="dxa"/>
            <w:shd w:val="clear" w:color="auto" w:fill="F2F2F2" w:themeFill="background1" w:themeFillShade="F2"/>
          </w:tcPr>
          <w:p w14:paraId="0A31A6C8" w14:textId="2149F21D" w:rsidR="00F419E5" w:rsidRDefault="00F419E5" w:rsidP="007F28BA">
            <w:r>
              <w:t>Taylorsville RW</w:t>
            </w:r>
          </w:p>
        </w:tc>
        <w:tc>
          <w:tcPr>
            <w:tcW w:w="1548" w:type="dxa"/>
            <w:shd w:val="clear" w:color="auto" w:fill="F2F2F2" w:themeFill="background1" w:themeFillShade="F2"/>
          </w:tcPr>
          <w:p w14:paraId="2DD8066C" w14:textId="2CDA0466" w:rsidR="00F419E5" w:rsidRDefault="00F419E5" w:rsidP="007F28BA">
            <w:r>
              <w:t>4580</w:t>
            </w:r>
          </w:p>
        </w:tc>
        <w:tc>
          <w:tcPr>
            <w:tcW w:w="1547" w:type="dxa"/>
            <w:shd w:val="clear" w:color="auto" w:fill="F2F2F2" w:themeFill="background1" w:themeFillShade="F2"/>
          </w:tcPr>
          <w:p w14:paraId="537B26D0" w14:textId="42E789EE" w:rsidR="00F419E5" w:rsidRDefault="00F419E5" w:rsidP="007F28BA">
            <w:r>
              <w:t>55.6%</w:t>
            </w:r>
          </w:p>
        </w:tc>
        <w:tc>
          <w:tcPr>
            <w:tcW w:w="1558" w:type="dxa"/>
            <w:shd w:val="clear" w:color="auto" w:fill="F2F2F2" w:themeFill="background1" w:themeFillShade="F2"/>
          </w:tcPr>
          <w:p w14:paraId="368CE1A4" w14:textId="47A3573D" w:rsidR="00F419E5" w:rsidRDefault="00F419E5" w:rsidP="007F28BA">
            <w:r>
              <w:t>8470</w:t>
            </w:r>
          </w:p>
        </w:tc>
        <w:tc>
          <w:tcPr>
            <w:tcW w:w="1551" w:type="dxa"/>
            <w:shd w:val="clear" w:color="auto" w:fill="F2F2F2" w:themeFill="background1" w:themeFillShade="F2"/>
          </w:tcPr>
          <w:p w14:paraId="55B90F84" w14:textId="60568897" w:rsidR="00F419E5" w:rsidRDefault="00F419E5" w:rsidP="007F28BA">
            <w:r>
              <w:t>64.6%</w:t>
            </w:r>
          </w:p>
        </w:tc>
      </w:tr>
      <w:tr w:rsidR="00F419E5" w14:paraId="1E51C0D6" w14:textId="77777777" w:rsidTr="0048390A">
        <w:tc>
          <w:tcPr>
            <w:tcW w:w="1400" w:type="dxa"/>
            <w:shd w:val="clear" w:color="auto" w:fill="F2F2F2" w:themeFill="background1" w:themeFillShade="F2"/>
          </w:tcPr>
          <w:p w14:paraId="34681DE5" w14:textId="72C2E2FE" w:rsidR="00F419E5" w:rsidRDefault="00F419E5" w:rsidP="007F28BA">
            <w:r>
              <w:t>Location</w:t>
            </w:r>
          </w:p>
        </w:tc>
        <w:tc>
          <w:tcPr>
            <w:tcW w:w="1746" w:type="dxa"/>
            <w:shd w:val="clear" w:color="auto" w:fill="F2F2F2" w:themeFill="background1" w:themeFillShade="F2"/>
          </w:tcPr>
          <w:p w14:paraId="194FA460" w14:textId="398B17D2" w:rsidR="00F419E5" w:rsidRDefault="00F419E5" w:rsidP="007F28BA">
            <w:r>
              <w:t>SCC</w:t>
            </w:r>
          </w:p>
        </w:tc>
        <w:tc>
          <w:tcPr>
            <w:tcW w:w="1548" w:type="dxa"/>
            <w:shd w:val="clear" w:color="auto" w:fill="F2F2F2" w:themeFill="background1" w:themeFillShade="F2"/>
          </w:tcPr>
          <w:p w14:paraId="1F61A39C" w14:textId="281D9C59" w:rsidR="00F419E5" w:rsidRDefault="00F419E5" w:rsidP="007F28BA">
            <w:r>
              <w:t>3300</w:t>
            </w:r>
          </w:p>
        </w:tc>
        <w:tc>
          <w:tcPr>
            <w:tcW w:w="1547" w:type="dxa"/>
            <w:shd w:val="clear" w:color="auto" w:fill="F2F2F2" w:themeFill="background1" w:themeFillShade="F2"/>
          </w:tcPr>
          <w:p w14:paraId="7FCE5C01" w14:textId="1303B9A2" w:rsidR="00F419E5" w:rsidRDefault="00F419E5" w:rsidP="007F28BA">
            <w:r>
              <w:t>40.1%</w:t>
            </w:r>
          </w:p>
        </w:tc>
        <w:tc>
          <w:tcPr>
            <w:tcW w:w="1558" w:type="dxa"/>
            <w:shd w:val="clear" w:color="auto" w:fill="F2F2F2" w:themeFill="background1" w:themeFillShade="F2"/>
          </w:tcPr>
          <w:p w14:paraId="2AAC8561" w14:textId="10F53147" w:rsidR="00F419E5" w:rsidRDefault="00F419E5" w:rsidP="007F28BA">
            <w:r>
              <w:t>2880</w:t>
            </w:r>
          </w:p>
        </w:tc>
        <w:tc>
          <w:tcPr>
            <w:tcW w:w="1551" w:type="dxa"/>
            <w:shd w:val="clear" w:color="auto" w:fill="F2F2F2" w:themeFill="background1" w:themeFillShade="F2"/>
          </w:tcPr>
          <w:p w14:paraId="3785AD2F" w14:textId="297037D4" w:rsidR="00F419E5" w:rsidRDefault="00F419E5" w:rsidP="007F28BA">
            <w:r>
              <w:t>22%</w:t>
            </w:r>
          </w:p>
        </w:tc>
      </w:tr>
      <w:tr w:rsidR="00F419E5" w14:paraId="46E0B188" w14:textId="77777777" w:rsidTr="0048390A">
        <w:tc>
          <w:tcPr>
            <w:tcW w:w="1400" w:type="dxa"/>
            <w:shd w:val="clear" w:color="auto" w:fill="F2F2F2" w:themeFill="background1" w:themeFillShade="F2"/>
          </w:tcPr>
          <w:p w14:paraId="2EEAFFA0" w14:textId="511A7AFC" w:rsidR="00F419E5" w:rsidRDefault="00F419E5" w:rsidP="007F28BA">
            <w:r>
              <w:t>Location</w:t>
            </w:r>
          </w:p>
        </w:tc>
        <w:tc>
          <w:tcPr>
            <w:tcW w:w="1746" w:type="dxa"/>
            <w:shd w:val="clear" w:color="auto" w:fill="F2F2F2" w:themeFill="background1" w:themeFillShade="F2"/>
          </w:tcPr>
          <w:p w14:paraId="085D69B5" w14:textId="7FECED82" w:rsidR="00F419E5" w:rsidRDefault="00F419E5" w:rsidP="007F28BA">
            <w:r>
              <w:t>Jordan</w:t>
            </w:r>
          </w:p>
        </w:tc>
        <w:tc>
          <w:tcPr>
            <w:tcW w:w="1548" w:type="dxa"/>
            <w:shd w:val="clear" w:color="auto" w:fill="F2F2F2" w:themeFill="background1" w:themeFillShade="F2"/>
          </w:tcPr>
          <w:p w14:paraId="02ACEA4C" w14:textId="3F609DDF" w:rsidR="00F419E5" w:rsidRDefault="00F419E5" w:rsidP="007F28BA">
            <w:r>
              <w:t>271</w:t>
            </w:r>
          </w:p>
        </w:tc>
        <w:tc>
          <w:tcPr>
            <w:tcW w:w="1547" w:type="dxa"/>
            <w:shd w:val="clear" w:color="auto" w:fill="F2F2F2" w:themeFill="background1" w:themeFillShade="F2"/>
          </w:tcPr>
          <w:p w14:paraId="3EA51929" w14:textId="78954169" w:rsidR="00F419E5" w:rsidRDefault="00F419E5" w:rsidP="007F28BA">
            <w:r>
              <w:t>3.3%</w:t>
            </w:r>
          </w:p>
        </w:tc>
        <w:tc>
          <w:tcPr>
            <w:tcW w:w="1558" w:type="dxa"/>
            <w:shd w:val="clear" w:color="auto" w:fill="F2F2F2" w:themeFill="background1" w:themeFillShade="F2"/>
          </w:tcPr>
          <w:p w14:paraId="5EC31289" w14:textId="10FB4B57" w:rsidR="00F419E5" w:rsidRDefault="00F419E5" w:rsidP="007F28BA">
            <w:r>
              <w:t>1020</w:t>
            </w:r>
          </w:p>
        </w:tc>
        <w:tc>
          <w:tcPr>
            <w:tcW w:w="1551" w:type="dxa"/>
            <w:shd w:val="clear" w:color="auto" w:fill="F2F2F2" w:themeFill="background1" w:themeFillShade="F2"/>
          </w:tcPr>
          <w:p w14:paraId="7CAAFE0A" w14:textId="1385F531" w:rsidR="00F419E5" w:rsidRDefault="00F419E5" w:rsidP="007F28BA">
            <w:r>
              <w:t>7.8%</w:t>
            </w:r>
          </w:p>
        </w:tc>
      </w:tr>
      <w:tr w:rsidR="00F419E5" w14:paraId="4B59BE0E" w14:textId="77777777" w:rsidTr="0048390A">
        <w:tc>
          <w:tcPr>
            <w:tcW w:w="1400" w:type="dxa"/>
            <w:shd w:val="clear" w:color="auto" w:fill="F2F2F2" w:themeFill="background1" w:themeFillShade="F2"/>
          </w:tcPr>
          <w:p w14:paraId="0EACCEDD" w14:textId="151C0F34" w:rsidR="00F419E5" w:rsidRDefault="00F419E5" w:rsidP="007F28BA">
            <w:r>
              <w:t>Location</w:t>
            </w:r>
          </w:p>
        </w:tc>
        <w:tc>
          <w:tcPr>
            <w:tcW w:w="1746" w:type="dxa"/>
            <w:shd w:val="clear" w:color="auto" w:fill="F2F2F2" w:themeFill="background1" w:themeFillShade="F2"/>
          </w:tcPr>
          <w:p w14:paraId="1688B028" w14:textId="707FEC6B" w:rsidR="00F419E5" w:rsidRDefault="00F419E5" w:rsidP="007F28BA">
            <w:r>
              <w:t>WVC</w:t>
            </w:r>
          </w:p>
        </w:tc>
        <w:tc>
          <w:tcPr>
            <w:tcW w:w="1548" w:type="dxa"/>
            <w:shd w:val="clear" w:color="auto" w:fill="F2F2F2" w:themeFill="background1" w:themeFillShade="F2"/>
          </w:tcPr>
          <w:p w14:paraId="14DAA708" w14:textId="769DBD5A" w:rsidR="00F419E5" w:rsidRDefault="00F419E5" w:rsidP="007F28BA">
            <w:r>
              <w:t>71</w:t>
            </w:r>
          </w:p>
        </w:tc>
        <w:tc>
          <w:tcPr>
            <w:tcW w:w="1547" w:type="dxa"/>
            <w:shd w:val="clear" w:color="auto" w:fill="F2F2F2" w:themeFill="background1" w:themeFillShade="F2"/>
          </w:tcPr>
          <w:p w14:paraId="23468FBC" w14:textId="1C7628E6" w:rsidR="00F419E5" w:rsidRDefault="00F419E5" w:rsidP="007F28BA">
            <w:r>
              <w:t>0.9%</w:t>
            </w:r>
          </w:p>
        </w:tc>
        <w:tc>
          <w:tcPr>
            <w:tcW w:w="1558" w:type="dxa"/>
            <w:shd w:val="clear" w:color="auto" w:fill="F2F2F2" w:themeFill="background1" w:themeFillShade="F2"/>
          </w:tcPr>
          <w:p w14:paraId="6504F11E" w14:textId="7C0BB520" w:rsidR="00F419E5" w:rsidRDefault="00F419E5" w:rsidP="007F28BA">
            <w:r>
              <w:t>736</w:t>
            </w:r>
          </w:p>
        </w:tc>
        <w:tc>
          <w:tcPr>
            <w:tcW w:w="1551" w:type="dxa"/>
            <w:shd w:val="clear" w:color="auto" w:fill="F2F2F2" w:themeFill="background1" w:themeFillShade="F2"/>
          </w:tcPr>
          <w:p w14:paraId="09A2F33A" w14:textId="683087F4" w:rsidR="00F419E5" w:rsidRDefault="00F419E5" w:rsidP="007F28BA">
            <w:r>
              <w:t>5.6%</w:t>
            </w:r>
          </w:p>
        </w:tc>
      </w:tr>
      <w:tr w:rsidR="00A3637F" w14:paraId="757BC3FE" w14:textId="17B45D2F" w:rsidTr="00AE6FA2">
        <w:tc>
          <w:tcPr>
            <w:tcW w:w="1400" w:type="dxa"/>
          </w:tcPr>
          <w:p w14:paraId="51232EB1" w14:textId="4D0C5BB3" w:rsidR="00F419E5" w:rsidRDefault="00F419E5" w:rsidP="007F28BA">
            <w:r>
              <w:t>Gender</w:t>
            </w:r>
          </w:p>
        </w:tc>
        <w:tc>
          <w:tcPr>
            <w:tcW w:w="1746" w:type="dxa"/>
          </w:tcPr>
          <w:p w14:paraId="2286B5A1" w14:textId="2CD34D34" w:rsidR="00F419E5" w:rsidRDefault="00F419E5" w:rsidP="007F28BA">
            <w:r>
              <w:t>Female</w:t>
            </w:r>
          </w:p>
        </w:tc>
        <w:tc>
          <w:tcPr>
            <w:tcW w:w="1548" w:type="dxa"/>
          </w:tcPr>
          <w:p w14:paraId="24F2A454" w14:textId="3C7A8EEF" w:rsidR="00F419E5" w:rsidRDefault="00F419E5" w:rsidP="007F28BA">
            <w:r>
              <w:t>790</w:t>
            </w:r>
          </w:p>
        </w:tc>
        <w:tc>
          <w:tcPr>
            <w:tcW w:w="1547" w:type="dxa"/>
          </w:tcPr>
          <w:p w14:paraId="0B96DEE5" w14:textId="61F82A43" w:rsidR="00F419E5" w:rsidRDefault="00F419E5" w:rsidP="007F28BA">
            <w:r>
              <w:t>55.4%</w:t>
            </w:r>
          </w:p>
        </w:tc>
        <w:tc>
          <w:tcPr>
            <w:tcW w:w="1558" w:type="dxa"/>
          </w:tcPr>
          <w:p w14:paraId="35F1A965" w14:textId="42133349" w:rsidR="00F419E5" w:rsidRDefault="00F419E5" w:rsidP="007F28BA">
            <w:r>
              <w:t>1410</w:t>
            </w:r>
          </w:p>
        </w:tc>
        <w:tc>
          <w:tcPr>
            <w:tcW w:w="1551" w:type="dxa"/>
          </w:tcPr>
          <w:p w14:paraId="7D678380" w14:textId="10E93DFC" w:rsidR="00F419E5" w:rsidRDefault="00F419E5" w:rsidP="007F28BA">
            <w:r>
              <w:t>53.1%</w:t>
            </w:r>
          </w:p>
        </w:tc>
      </w:tr>
      <w:tr w:rsidR="00A3637F" w14:paraId="35EFF6C6" w14:textId="4E371E67" w:rsidTr="00AE6FA2">
        <w:tc>
          <w:tcPr>
            <w:tcW w:w="1400" w:type="dxa"/>
          </w:tcPr>
          <w:p w14:paraId="76600D9A" w14:textId="1BBD2B07" w:rsidR="00F419E5" w:rsidRDefault="00F419E5" w:rsidP="007F28BA">
            <w:r>
              <w:t>Gender</w:t>
            </w:r>
          </w:p>
        </w:tc>
        <w:tc>
          <w:tcPr>
            <w:tcW w:w="1746" w:type="dxa"/>
          </w:tcPr>
          <w:p w14:paraId="281AD57F" w14:textId="499C60EF" w:rsidR="00F419E5" w:rsidRDefault="00F419E5" w:rsidP="007F28BA">
            <w:r>
              <w:t>Male</w:t>
            </w:r>
          </w:p>
        </w:tc>
        <w:tc>
          <w:tcPr>
            <w:tcW w:w="1548" w:type="dxa"/>
          </w:tcPr>
          <w:p w14:paraId="287D241B" w14:textId="1FF8C9ED" w:rsidR="00F419E5" w:rsidRDefault="00F419E5" w:rsidP="007F28BA">
            <w:r>
              <w:t>605</w:t>
            </w:r>
          </w:p>
        </w:tc>
        <w:tc>
          <w:tcPr>
            <w:tcW w:w="1547" w:type="dxa"/>
          </w:tcPr>
          <w:p w14:paraId="63DEF7C6" w14:textId="03D18B5A" w:rsidR="00F419E5" w:rsidRDefault="00F419E5" w:rsidP="007F28BA">
            <w:r>
              <w:t>42.5%</w:t>
            </w:r>
          </w:p>
        </w:tc>
        <w:tc>
          <w:tcPr>
            <w:tcW w:w="1558" w:type="dxa"/>
          </w:tcPr>
          <w:p w14:paraId="7BD44A35" w14:textId="01832830" w:rsidR="00F419E5" w:rsidRDefault="00F419E5" w:rsidP="007F28BA">
            <w:r>
              <w:t>1080</w:t>
            </w:r>
          </w:p>
        </w:tc>
        <w:tc>
          <w:tcPr>
            <w:tcW w:w="1551" w:type="dxa"/>
          </w:tcPr>
          <w:p w14:paraId="339645E3" w14:textId="2723D3F2" w:rsidR="00F419E5" w:rsidRDefault="00F419E5" w:rsidP="007F28BA">
            <w:r>
              <w:t>40.7%</w:t>
            </w:r>
          </w:p>
        </w:tc>
      </w:tr>
      <w:tr w:rsidR="00A3637F" w14:paraId="4263D2FF" w14:textId="1C745521" w:rsidTr="00AE6FA2">
        <w:tc>
          <w:tcPr>
            <w:tcW w:w="1400" w:type="dxa"/>
          </w:tcPr>
          <w:p w14:paraId="7343FFE7" w14:textId="26916B28" w:rsidR="00F419E5" w:rsidRDefault="00F419E5" w:rsidP="007F28BA">
            <w:r>
              <w:t>Gender</w:t>
            </w:r>
          </w:p>
        </w:tc>
        <w:tc>
          <w:tcPr>
            <w:tcW w:w="1746" w:type="dxa"/>
          </w:tcPr>
          <w:p w14:paraId="51DAE0FF" w14:textId="6EE081D4" w:rsidR="00F419E5" w:rsidRDefault="00F419E5" w:rsidP="007F28BA">
            <w:r>
              <w:t>Neutral</w:t>
            </w:r>
          </w:p>
        </w:tc>
        <w:tc>
          <w:tcPr>
            <w:tcW w:w="1548" w:type="dxa"/>
          </w:tcPr>
          <w:p w14:paraId="54F67306" w14:textId="6140E86F" w:rsidR="00F419E5" w:rsidRDefault="00F419E5" w:rsidP="007F28BA">
            <w:r>
              <w:t>30</w:t>
            </w:r>
          </w:p>
        </w:tc>
        <w:tc>
          <w:tcPr>
            <w:tcW w:w="1547" w:type="dxa"/>
          </w:tcPr>
          <w:p w14:paraId="0DA78599" w14:textId="6962DE95" w:rsidR="00F419E5" w:rsidRDefault="00F419E5" w:rsidP="007F28BA">
            <w:r>
              <w:t>2.11%</w:t>
            </w:r>
          </w:p>
        </w:tc>
        <w:tc>
          <w:tcPr>
            <w:tcW w:w="1558" w:type="dxa"/>
          </w:tcPr>
          <w:p w14:paraId="6EBCFEF1" w14:textId="5E75F9FB" w:rsidR="00F419E5" w:rsidRDefault="00F419E5" w:rsidP="007F28BA">
            <w:r>
              <w:t>166</w:t>
            </w:r>
          </w:p>
        </w:tc>
        <w:tc>
          <w:tcPr>
            <w:tcW w:w="1551" w:type="dxa"/>
          </w:tcPr>
          <w:p w14:paraId="35F28305" w14:textId="1DE56E29" w:rsidR="00F419E5" w:rsidRDefault="00F419E5" w:rsidP="007F28BA">
            <w:r>
              <w:t>6.2%</w:t>
            </w:r>
          </w:p>
        </w:tc>
      </w:tr>
      <w:tr w:rsidR="00F927B4" w14:paraId="29F34F30" w14:textId="5639692E" w:rsidTr="0048390A">
        <w:tc>
          <w:tcPr>
            <w:tcW w:w="1400" w:type="dxa"/>
            <w:shd w:val="clear" w:color="auto" w:fill="F2F2F2" w:themeFill="background1" w:themeFillShade="F2"/>
          </w:tcPr>
          <w:p w14:paraId="2E5B7F6D" w14:textId="18A01E82" w:rsidR="00F419E5" w:rsidRDefault="00F419E5" w:rsidP="007F28BA">
            <w:r>
              <w:t>Ethnicity</w:t>
            </w:r>
          </w:p>
        </w:tc>
        <w:tc>
          <w:tcPr>
            <w:tcW w:w="1746" w:type="dxa"/>
            <w:shd w:val="clear" w:color="auto" w:fill="F2F2F2" w:themeFill="background1" w:themeFillShade="F2"/>
          </w:tcPr>
          <w:p w14:paraId="31C5DB96" w14:textId="73FF575A" w:rsidR="00F419E5" w:rsidRDefault="00F419E5" w:rsidP="007F28BA">
            <w:r>
              <w:t>African Am.</w:t>
            </w:r>
          </w:p>
        </w:tc>
        <w:tc>
          <w:tcPr>
            <w:tcW w:w="1548" w:type="dxa"/>
            <w:shd w:val="clear" w:color="auto" w:fill="F2F2F2" w:themeFill="background1" w:themeFillShade="F2"/>
          </w:tcPr>
          <w:p w14:paraId="0E85E86E" w14:textId="7CE9B935" w:rsidR="00F419E5" w:rsidRDefault="00F419E5" w:rsidP="007F28BA">
            <w:r>
              <w:t>87</w:t>
            </w:r>
          </w:p>
        </w:tc>
        <w:tc>
          <w:tcPr>
            <w:tcW w:w="1547" w:type="dxa"/>
            <w:shd w:val="clear" w:color="auto" w:fill="F2F2F2" w:themeFill="background1" w:themeFillShade="F2"/>
          </w:tcPr>
          <w:p w14:paraId="42327CC2" w14:textId="403CFCC8" w:rsidR="00F419E5" w:rsidRDefault="00F419E5" w:rsidP="007F28BA">
            <w:r>
              <w:t>6.1%</w:t>
            </w:r>
          </w:p>
        </w:tc>
        <w:tc>
          <w:tcPr>
            <w:tcW w:w="1558" w:type="dxa"/>
            <w:shd w:val="clear" w:color="auto" w:fill="F2F2F2" w:themeFill="background1" w:themeFillShade="F2"/>
          </w:tcPr>
          <w:p w14:paraId="25E8EC2E" w14:textId="7A84D863" w:rsidR="00F419E5" w:rsidRDefault="00F419E5" w:rsidP="007F28BA">
            <w:r>
              <w:t>128</w:t>
            </w:r>
          </w:p>
        </w:tc>
        <w:tc>
          <w:tcPr>
            <w:tcW w:w="1551" w:type="dxa"/>
            <w:shd w:val="clear" w:color="auto" w:fill="F2F2F2" w:themeFill="background1" w:themeFillShade="F2"/>
          </w:tcPr>
          <w:p w14:paraId="7384F95A" w14:textId="6A098CDC" w:rsidR="00F419E5" w:rsidRDefault="00F419E5" w:rsidP="007F28BA">
            <w:r>
              <w:t>4.8%</w:t>
            </w:r>
          </w:p>
        </w:tc>
      </w:tr>
      <w:tr w:rsidR="00F927B4" w14:paraId="5E71D66E" w14:textId="5284E03B" w:rsidTr="0048390A">
        <w:tc>
          <w:tcPr>
            <w:tcW w:w="1400" w:type="dxa"/>
            <w:shd w:val="clear" w:color="auto" w:fill="F2F2F2" w:themeFill="background1" w:themeFillShade="F2"/>
          </w:tcPr>
          <w:p w14:paraId="77E006D4" w14:textId="4D93B8A2" w:rsidR="00F419E5" w:rsidRDefault="00F419E5" w:rsidP="007F28BA">
            <w:r w:rsidRPr="00E95BB2">
              <w:t>Ethnicity</w:t>
            </w:r>
          </w:p>
        </w:tc>
        <w:tc>
          <w:tcPr>
            <w:tcW w:w="1746" w:type="dxa"/>
            <w:shd w:val="clear" w:color="auto" w:fill="F2F2F2" w:themeFill="background1" w:themeFillShade="F2"/>
          </w:tcPr>
          <w:p w14:paraId="76319C68" w14:textId="2D38653F" w:rsidR="00F419E5" w:rsidRDefault="00F419E5" w:rsidP="007F28BA">
            <w:r>
              <w:t>Asian</w:t>
            </w:r>
          </w:p>
        </w:tc>
        <w:tc>
          <w:tcPr>
            <w:tcW w:w="1548" w:type="dxa"/>
            <w:shd w:val="clear" w:color="auto" w:fill="F2F2F2" w:themeFill="background1" w:themeFillShade="F2"/>
          </w:tcPr>
          <w:p w14:paraId="684A35EB" w14:textId="4DEAA9C4" w:rsidR="00F419E5" w:rsidRDefault="00F419E5" w:rsidP="007F28BA">
            <w:r>
              <w:t>75</w:t>
            </w:r>
          </w:p>
        </w:tc>
        <w:tc>
          <w:tcPr>
            <w:tcW w:w="1547" w:type="dxa"/>
            <w:shd w:val="clear" w:color="auto" w:fill="F2F2F2" w:themeFill="background1" w:themeFillShade="F2"/>
          </w:tcPr>
          <w:p w14:paraId="02036732" w14:textId="4326E4FC" w:rsidR="00F419E5" w:rsidRDefault="00F419E5" w:rsidP="007F28BA">
            <w:r>
              <w:t>5.3%</w:t>
            </w:r>
          </w:p>
        </w:tc>
        <w:tc>
          <w:tcPr>
            <w:tcW w:w="1558" w:type="dxa"/>
            <w:shd w:val="clear" w:color="auto" w:fill="F2F2F2" w:themeFill="background1" w:themeFillShade="F2"/>
          </w:tcPr>
          <w:p w14:paraId="579A8F14" w14:textId="23AE1E25" w:rsidR="00F419E5" w:rsidRDefault="00F419E5" w:rsidP="007F28BA">
            <w:r>
              <w:t>121</w:t>
            </w:r>
          </w:p>
        </w:tc>
        <w:tc>
          <w:tcPr>
            <w:tcW w:w="1551" w:type="dxa"/>
            <w:shd w:val="clear" w:color="auto" w:fill="F2F2F2" w:themeFill="background1" w:themeFillShade="F2"/>
          </w:tcPr>
          <w:p w14:paraId="4E9B0A14" w14:textId="6D8843FC" w:rsidR="00F419E5" w:rsidRDefault="00F419E5" w:rsidP="007F28BA">
            <w:r>
              <w:t>4.5%</w:t>
            </w:r>
          </w:p>
        </w:tc>
      </w:tr>
      <w:tr w:rsidR="00F927B4" w14:paraId="2BA99D94" w14:textId="4CC72E80" w:rsidTr="0048390A">
        <w:tc>
          <w:tcPr>
            <w:tcW w:w="1400" w:type="dxa"/>
            <w:shd w:val="clear" w:color="auto" w:fill="F2F2F2" w:themeFill="background1" w:themeFillShade="F2"/>
          </w:tcPr>
          <w:p w14:paraId="24279A6C" w14:textId="371F080D" w:rsidR="00F419E5" w:rsidRDefault="00F419E5" w:rsidP="007F28BA">
            <w:r w:rsidRPr="00E95BB2">
              <w:t>Ethnicity</w:t>
            </w:r>
          </w:p>
        </w:tc>
        <w:tc>
          <w:tcPr>
            <w:tcW w:w="1746" w:type="dxa"/>
            <w:shd w:val="clear" w:color="auto" w:fill="F2F2F2" w:themeFill="background1" w:themeFillShade="F2"/>
          </w:tcPr>
          <w:p w14:paraId="503C2E66" w14:textId="76FE1951" w:rsidR="00F419E5" w:rsidRDefault="00F419E5" w:rsidP="007F28BA">
            <w:r>
              <w:t>Caucasian</w:t>
            </w:r>
          </w:p>
        </w:tc>
        <w:tc>
          <w:tcPr>
            <w:tcW w:w="1548" w:type="dxa"/>
            <w:shd w:val="clear" w:color="auto" w:fill="F2F2F2" w:themeFill="background1" w:themeFillShade="F2"/>
          </w:tcPr>
          <w:p w14:paraId="2FCCE33C" w14:textId="1FD2CFCD" w:rsidR="00F419E5" w:rsidRDefault="00F419E5" w:rsidP="007F28BA">
            <w:r>
              <w:t>717</w:t>
            </w:r>
          </w:p>
        </w:tc>
        <w:tc>
          <w:tcPr>
            <w:tcW w:w="1547" w:type="dxa"/>
            <w:shd w:val="clear" w:color="auto" w:fill="F2F2F2" w:themeFill="background1" w:themeFillShade="F2"/>
          </w:tcPr>
          <w:p w14:paraId="62364904" w14:textId="6CCF800F" w:rsidR="00F419E5" w:rsidRDefault="00F419E5" w:rsidP="007F28BA">
            <w:r>
              <w:t>50.3%</w:t>
            </w:r>
          </w:p>
        </w:tc>
        <w:tc>
          <w:tcPr>
            <w:tcW w:w="1558" w:type="dxa"/>
            <w:shd w:val="clear" w:color="auto" w:fill="F2F2F2" w:themeFill="background1" w:themeFillShade="F2"/>
          </w:tcPr>
          <w:p w14:paraId="579BFE96" w14:textId="6BCEC085" w:rsidR="00F419E5" w:rsidRDefault="00F419E5" w:rsidP="007F28BA">
            <w:r>
              <w:t>1080</w:t>
            </w:r>
          </w:p>
        </w:tc>
        <w:tc>
          <w:tcPr>
            <w:tcW w:w="1551" w:type="dxa"/>
            <w:shd w:val="clear" w:color="auto" w:fill="F2F2F2" w:themeFill="background1" w:themeFillShade="F2"/>
          </w:tcPr>
          <w:p w14:paraId="104FCF6D" w14:textId="385A7FD9" w:rsidR="00F419E5" w:rsidRDefault="00F419E5" w:rsidP="007F28BA">
            <w:r>
              <w:t>40.7%</w:t>
            </w:r>
          </w:p>
        </w:tc>
      </w:tr>
      <w:tr w:rsidR="00F419E5" w14:paraId="4F7B95AB" w14:textId="77777777" w:rsidTr="0048390A">
        <w:tc>
          <w:tcPr>
            <w:tcW w:w="1400" w:type="dxa"/>
            <w:shd w:val="clear" w:color="auto" w:fill="F2F2F2" w:themeFill="background1" w:themeFillShade="F2"/>
          </w:tcPr>
          <w:p w14:paraId="1A9C44A9" w14:textId="0868C63A" w:rsidR="00F419E5" w:rsidRPr="00E95BB2" w:rsidRDefault="00F419E5" w:rsidP="007F28BA">
            <w:r w:rsidRPr="00E95BB2">
              <w:t>Ethnicity</w:t>
            </w:r>
          </w:p>
        </w:tc>
        <w:tc>
          <w:tcPr>
            <w:tcW w:w="1746" w:type="dxa"/>
            <w:shd w:val="clear" w:color="auto" w:fill="F2F2F2" w:themeFill="background1" w:themeFillShade="F2"/>
          </w:tcPr>
          <w:p w14:paraId="7802C881" w14:textId="07E77BA9" w:rsidR="00F419E5" w:rsidRDefault="00F419E5" w:rsidP="007F28BA">
            <w:r>
              <w:t>Hispanic/Latinx</w:t>
            </w:r>
          </w:p>
        </w:tc>
        <w:tc>
          <w:tcPr>
            <w:tcW w:w="1548" w:type="dxa"/>
            <w:shd w:val="clear" w:color="auto" w:fill="F2F2F2" w:themeFill="background1" w:themeFillShade="F2"/>
          </w:tcPr>
          <w:p w14:paraId="1DD302A6" w14:textId="69D3D87F" w:rsidR="00F419E5" w:rsidRDefault="00F419E5" w:rsidP="007F28BA">
            <w:r>
              <w:t>348</w:t>
            </w:r>
          </w:p>
        </w:tc>
        <w:tc>
          <w:tcPr>
            <w:tcW w:w="1547" w:type="dxa"/>
            <w:shd w:val="clear" w:color="auto" w:fill="F2F2F2" w:themeFill="background1" w:themeFillShade="F2"/>
          </w:tcPr>
          <w:p w14:paraId="43196D40" w14:textId="21B72534" w:rsidR="00F419E5" w:rsidRDefault="00F419E5" w:rsidP="007F28BA">
            <w:r>
              <w:t>24.4%</w:t>
            </w:r>
          </w:p>
        </w:tc>
        <w:tc>
          <w:tcPr>
            <w:tcW w:w="1558" w:type="dxa"/>
            <w:shd w:val="clear" w:color="auto" w:fill="F2F2F2" w:themeFill="background1" w:themeFillShade="F2"/>
          </w:tcPr>
          <w:p w14:paraId="41810D03" w14:textId="47B816AD" w:rsidR="00F419E5" w:rsidRDefault="00F419E5" w:rsidP="007F28BA">
            <w:r>
              <w:t>790</w:t>
            </w:r>
          </w:p>
        </w:tc>
        <w:tc>
          <w:tcPr>
            <w:tcW w:w="1551" w:type="dxa"/>
            <w:shd w:val="clear" w:color="auto" w:fill="F2F2F2" w:themeFill="background1" w:themeFillShade="F2"/>
          </w:tcPr>
          <w:p w14:paraId="0EDD00FD" w14:textId="010C5657" w:rsidR="00F419E5" w:rsidRDefault="00F419E5" w:rsidP="007F28BA">
            <w:r>
              <w:t>29.7%</w:t>
            </w:r>
          </w:p>
        </w:tc>
      </w:tr>
      <w:tr w:rsidR="00F927B4" w14:paraId="0AD7B8B4" w14:textId="40ADA616" w:rsidTr="0048390A">
        <w:tc>
          <w:tcPr>
            <w:tcW w:w="1400" w:type="dxa"/>
            <w:shd w:val="clear" w:color="auto" w:fill="F2F2F2" w:themeFill="background1" w:themeFillShade="F2"/>
          </w:tcPr>
          <w:p w14:paraId="3ADD028D" w14:textId="4A32486F" w:rsidR="00F419E5" w:rsidRDefault="00F419E5" w:rsidP="007F28BA">
            <w:r w:rsidRPr="00E95BB2">
              <w:t>Ethnicity</w:t>
            </w:r>
          </w:p>
        </w:tc>
        <w:tc>
          <w:tcPr>
            <w:tcW w:w="1746" w:type="dxa"/>
            <w:shd w:val="clear" w:color="auto" w:fill="F2F2F2" w:themeFill="background1" w:themeFillShade="F2"/>
          </w:tcPr>
          <w:p w14:paraId="6B4B314E" w14:textId="748FFB82" w:rsidR="00F419E5" w:rsidRDefault="00F419E5" w:rsidP="007F28BA">
            <w:r>
              <w:t>Bi/Multiracial</w:t>
            </w:r>
          </w:p>
        </w:tc>
        <w:tc>
          <w:tcPr>
            <w:tcW w:w="1548" w:type="dxa"/>
            <w:shd w:val="clear" w:color="auto" w:fill="F2F2F2" w:themeFill="background1" w:themeFillShade="F2"/>
          </w:tcPr>
          <w:p w14:paraId="3EAF66FC" w14:textId="49297A9E" w:rsidR="00F419E5" w:rsidRDefault="00F419E5" w:rsidP="007F28BA">
            <w:r>
              <w:t>45</w:t>
            </w:r>
          </w:p>
        </w:tc>
        <w:tc>
          <w:tcPr>
            <w:tcW w:w="1547" w:type="dxa"/>
            <w:shd w:val="clear" w:color="auto" w:fill="F2F2F2" w:themeFill="background1" w:themeFillShade="F2"/>
          </w:tcPr>
          <w:p w14:paraId="6A0EAFE1" w14:textId="7B6FAABA" w:rsidR="00F419E5" w:rsidRDefault="00F419E5" w:rsidP="007F28BA">
            <w:r>
              <w:t>3.7%</w:t>
            </w:r>
          </w:p>
        </w:tc>
        <w:tc>
          <w:tcPr>
            <w:tcW w:w="1558" w:type="dxa"/>
            <w:shd w:val="clear" w:color="auto" w:fill="F2F2F2" w:themeFill="background1" w:themeFillShade="F2"/>
          </w:tcPr>
          <w:p w14:paraId="507E3EE0" w14:textId="3B9DA465" w:rsidR="00F419E5" w:rsidRDefault="00F419E5" w:rsidP="007F28BA">
            <w:r>
              <w:t>67</w:t>
            </w:r>
          </w:p>
        </w:tc>
        <w:tc>
          <w:tcPr>
            <w:tcW w:w="1551" w:type="dxa"/>
            <w:shd w:val="clear" w:color="auto" w:fill="F2F2F2" w:themeFill="background1" w:themeFillShade="F2"/>
          </w:tcPr>
          <w:p w14:paraId="60C96AEA" w14:textId="3C275CD2" w:rsidR="00F419E5" w:rsidRDefault="00F419E5" w:rsidP="007F28BA">
            <w:r>
              <w:t>2.5%</w:t>
            </w:r>
          </w:p>
        </w:tc>
      </w:tr>
      <w:tr w:rsidR="00F927B4" w14:paraId="7556226E" w14:textId="08B09EA3" w:rsidTr="0048390A">
        <w:tc>
          <w:tcPr>
            <w:tcW w:w="1400" w:type="dxa"/>
            <w:shd w:val="clear" w:color="auto" w:fill="F2F2F2" w:themeFill="background1" w:themeFillShade="F2"/>
          </w:tcPr>
          <w:p w14:paraId="2EC10A97" w14:textId="061198A1" w:rsidR="00F419E5" w:rsidRDefault="00F419E5" w:rsidP="007F28BA">
            <w:r w:rsidRPr="00E95BB2">
              <w:t>Ethnicity</w:t>
            </w:r>
          </w:p>
        </w:tc>
        <w:tc>
          <w:tcPr>
            <w:tcW w:w="1746" w:type="dxa"/>
            <w:shd w:val="clear" w:color="auto" w:fill="F2F2F2" w:themeFill="background1" w:themeFillShade="F2"/>
          </w:tcPr>
          <w:p w14:paraId="10D589AA" w14:textId="1EB5963B" w:rsidR="00F419E5" w:rsidRDefault="00F419E5" w:rsidP="007F28BA">
            <w:r>
              <w:t>Native American</w:t>
            </w:r>
          </w:p>
        </w:tc>
        <w:tc>
          <w:tcPr>
            <w:tcW w:w="1548" w:type="dxa"/>
            <w:shd w:val="clear" w:color="auto" w:fill="F2F2F2" w:themeFill="background1" w:themeFillShade="F2"/>
          </w:tcPr>
          <w:p w14:paraId="6B0F020B" w14:textId="3D43041F" w:rsidR="00F419E5" w:rsidRDefault="00F419E5" w:rsidP="007F28BA">
            <w:r>
              <w:t>22</w:t>
            </w:r>
          </w:p>
        </w:tc>
        <w:tc>
          <w:tcPr>
            <w:tcW w:w="1547" w:type="dxa"/>
            <w:shd w:val="clear" w:color="auto" w:fill="F2F2F2" w:themeFill="background1" w:themeFillShade="F2"/>
          </w:tcPr>
          <w:p w14:paraId="39CE3E2F" w14:textId="0A4D8CAE" w:rsidR="00F419E5" w:rsidRDefault="00F419E5" w:rsidP="007F28BA">
            <w:r>
              <w:t>1.5%</w:t>
            </w:r>
          </w:p>
        </w:tc>
        <w:tc>
          <w:tcPr>
            <w:tcW w:w="1558" w:type="dxa"/>
            <w:shd w:val="clear" w:color="auto" w:fill="F2F2F2" w:themeFill="background1" w:themeFillShade="F2"/>
          </w:tcPr>
          <w:p w14:paraId="383450FD" w14:textId="0928B8E1" w:rsidR="00F419E5" w:rsidRDefault="00F419E5" w:rsidP="007F28BA">
            <w:r>
              <w:t>26</w:t>
            </w:r>
          </w:p>
        </w:tc>
        <w:tc>
          <w:tcPr>
            <w:tcW w:w="1551" w:type="dxa"/>
            <w:shd w:val="clear" w:color="auto" w:fill="F2F2F2" w:themeFill="background1" w:themeFillShade="F2"/>
          </w:tcPr>
          <w:p w14:paraId="7AC275AE" w14:textId="7A494D2D" w:rsidR="00F419E5" w:rsidRDefault="00F419E5" w:rsidP="007F28BA">
            <w:r>
              <w:t>1%</w:t>
            </w:r>
          </w:p>
        </w:tc>
      </w:tr>
      <w:tr w:rsidR="00F927B4" w14:paraId="22448A48" w14:textId="186EE6E7" w:rsidTr="0048390A">
        <w:tc>
          <w:tcPr>
            <w:tcW w:w="1400" w:type="dxa"/>
            <w:shd w:val="clear" w:color="auto" w:fill="F2F2F2" w:themeFill="background1" w:themeFillShade="F2"/>
          </w:tcPr>
          <w:p w14:paraId="0E98E1A5" w14:textId="6C1904D8" w:rsidR="00F419E5" w:rsidRDefault="00F419E5" w:rsidP="007F28BA">
            <w:r w:rsidRPr="00E95BB2">
              <w:t>Ethnicity</w:t>
            </w:r>
          </w:p>
        </w:tc>
        <w:tc>
          <w:tcPr>
            <w:tcW w:w="1746" w:type="dxa"/>
            <w:shd w:val="clear" w:color="auto" w:fill="F2F2F2" w:themeFill="background1" w:themeFillShade="F2"/>
          </w:tcPr>
          <w:p w14:paraId="0473BC04" w14:textId="1B8689F6" w:rsidR="00F419E5" w:rsidRDefault="00F419E5" w:rsidP="007F28BA">
            <w:r>
              <w:t>Non-Resident</w:t>
            </w:r>
          </w:p>
        </w:tc>
        <w:tc>
          <w:tcPr>
            <w:tcW w:w="1548" w:type="dxa"/>
            <w:shd w:val="clear" w:color="auto" w:fill="F2F2F2" w:themeFill="background1" w:themeFillShade="F2"/>
          </w:tcPr>
          <w:p w14:paraId="6700A836" w14:textId="02E34281" w:rsidR="00F419E5" w:rsidRDefault="00F419E5" w:rsidP="007F28BA">
            <w:r>
              <w:t>41</w:t>
            </w:r>
          </w:p>
        </w:tc>
        <w:tc>
          <w:tcPr>
            <w:tcW w:w="1547" w:type="dxa"/>
            <w:shd w:val="clear" w:color="auto" w:fill="F2F2F2" w:themeFill="background1" w:themeFillShade="F2"/>
          </w:tcPr>
          <w:p w14:paraId="1F4219C1" w14:textId="69DC07CC" w:rsidR="00F419E5" w:rsidRDefault="00F419E5" w:rsidP="007F28BA">
            <w:r>
              <w:t>2.9%</w:t>
            </w:r>
          </w:p>
        </w:tc>
        <w:tc>
          <w:tcPr>
            <w:tcW w:w="1558" w:type="dxa"/>
            <w:shd w:val="clear" w:color="auto" w:fill="F2F2F2" w:themeFill="background1" w:themeFillShade="F2"/>
          </w:tcPr>
          <w:p w14:paraId="45E2B770" w14:textId="2378A230" w:rsidR="00F419E5" w:rsidRDefault="00F419E5" w:rsidP="007F28BA">
            <w:r>
              <w:t>85</w:t>
            </w:r>
          </w:p>
        </w:tc>
        <w:tc>
          <w:tcPr>
            <w:tcW w:w="1551" w:type="dxa"/>
            <w:shd w:val="clear" w:color="auto" w:fill="F2F2F2" w:themeFill="background1" w:themeFillShade="F2"/>
          </w:tcPr>
          <w:p w14:paraId="719CED54" w14:textId="4A841DB1" w:rsidR="00F419E5" w:rsidRDefault="00F419E5" w:rsidP="007F28BA">
            <w:r>
              <w:t>3.2%</w:t>
            </w:r>
          </w:p>
        </w:tc>
      </w:tr>
      <w:tr w:rsidR="00F927B4" w14:paraId="5946DBB5" w14:textId="7DAFB470" w:rsidTr="0048390A">
        <w:tc>
          <w:tcPr>
            <w:tcW w:w="1400" w:type="dxa"/>
            <w:shd w:val="clear" w:color="auto" w:fill="F2F2F2" w:themeFill="background1" w:themeFillShade="F2"/>
          </w:tcPr>
          <w:p w14:paraId="0C23EAEB" w14:textId="16DBC0B1" w:rsidR="00F419E5" w:rsidRDefault="00F419E5" w:rsidP="007F28BA">
            <w:r w:rsidRPr="00E95BB2">
              <w:t>Ethnicity</w:t>
            </w:r>
          </w:p>
        </w:tc>
        <w:tc>
          <w:tcPr>
            <w:tcW w:w="1746" w:type="dxa"/>
            <w:shd w:val="clear" w:color="auto" w:fill="F2F2F2" w:themeFill="background1" w:themeFillShade="F2"/>
          </w:tcPr>
          <w:p w14:paraId="3A79A241" w14:textId="50B40493" w:rsidR="00F419E5" w:rsidRDefault="00F419E5" w:rsidP="007F28BA">
            <w:r>
              <w:t>N/A</w:t>
            </w:r>
          </w:p>
        </w:tc>
        <w:tc>
          <w:tcPr>
            <w:tcW w:w="1548" w:type="dxa"/>
            <w:shd w:val="clear" w:color="auto" w:fill="F2F2F2" w:themeFill="background1" w:themeFillShade="F2"/>
          </w:tcPr>
          <w:p w14:paraId="675276FF" w14:textId="00BEC833" w:rsidR="00F419E5" w:rsidRDefault="00F419E5" w:rsidP="007F28BA">
            <w:r>
              <w:t>66</w:t>
            </w:r>
          </w:p>
        </w:tc>
        <w:tc>
          <w:tcPr>
            <w:tcW w:w="1547" w:type="dxa"/>
            <w:shd w:val="clear" w:color="auto" w:fill="F2F2F2" w:themeFill="background1" w:themeFillShade="F2"/>
          </w:tcPr>
          <w:p w14:paraId="61ABF73E" w14:textId="5F4D3A1C" w:rsidR="00F419E5" w:rsidRDefault="00F419E5" w:rsidP="007F28BA">
            <w:r>
              <w:t>4.5%</w:t>
            </w:r>
          </w:p>
        </w:tc>
        <w:tc>
          <w:tcPr>
            <w:tcW w:w="1558" w:type="dxa"/>
            <w:shd w:val="clear" w:color="auto" w:fill="F2F2F2" w:themeFill="background1" w:themeFillShade="F2"/>
          </w:tcPr>
          <w:p w14:paraId="1D38E0DD" w14:textId="489EDF04" w:rsidR="00F419E5" w:rsidRDefault="00F419E5" w:rsidP="007F28BA">
            <w:r>
              <w:t>324</w:t>
            </w:r>
          </w:p>
        </w:tc>
        <w:tc>
          <w:tcPr>
            <w:tcW w:w="1551" w:type="dxa"/>
            <w:shd w:val="clear" w:color="auto" w:fill="F2F2F2" w:themeFill="background1" w:themeFillShade="F2"/>
          </w:tcPr>
          <w:p w14:paraId="58AA19DB" w14:textId="151E4883" w:rsidR="00F419E5" w:rsidRDefault="00F419E5" w:rsidP="007F28BA">
            <w:r>
              <w:t>12.2%</w:t>
            </w:r>
          </w:p>
        </w:tc>
      </w:tr>
      <w:tr w:rsidR="00F927B4" w14:paraId="1CDCA9DF" w14:textId="5D0D1271" w:rsidTr="0048390A">
        <w:tc>
          <w:tcPr>
            <w:tcW w:w="1400" w:type="dxa"/>
            <w:shd w:val="clear" w:color="auto" w:fill="F2F2F2" w:themeFill="background1" w:themeFillShade="F2"/>
          </w:tcPr>
          <w:p w14:paraId="65681F07" w14:textId="077C0146" w:rsidR="00F419E5" w:rsidRDefault="00F419E5" w:rsidP="007F28BA">
            <w:r w:rsidRPr="00E95BB2">
              <w:t>Ethnicity</w:t>
            </w:r>
          </w:p>
        </w:tc>
        <w:tc>
          <w:tcPr>
            <w:tcW w:w="1746" w:type="dxa"/>
            <w:shd w:val="clear" w:color="auto" w:fill="F2F2F2" w:themeFill="background1" w:themeFillShade="F2"/>
          </w:tcPr>
          <w:p w14:paraId="0E67847A" w14:textId="46951FCA" w:rsidR="00F419E5" w:rsidRDefault="00F419E5" w:rsidP="007F28BA">
            <w:r>
              <w:t>Pacific Islander</w:t>
            </w:r>
          </w:p>
        </w:tc>
        <w:tc>
          <w:tcPr>
            <w:tcW w:w="1548" w:type="dxa"/>
            <w:shd w:val="clear" w:color="auto" w:fill="F2F2F2" w:themeFill="background1" w:themeFillShade="F2"/>
          </w:tcPr>
          <w:p w14:paraId="3451E801" w14:textId="15431D40" w:rsidR="00F419E5" w:rsidRDefault="00F419E5" w:rsidP="007F28BA">
            <w:r>
              <w:t>25</w:t>
            </w:r>
          </w:p>
        </w:tc>
        <w:tc>
          <w:tcPr>
            <w:tcW w:w="1547" w:type="dxa"/>
            <w:shd w:val="clear" w:color="auto" w:fill="F2F2F2" w:themeFill="background1" w:themeFillShade="F2"/>
          </w:tcPr>
          <w:p w14:paraId="453E443B" w14:textId="6DC2A212" w:rsidR="00F419E5" w:rsidRDefault="00F419E5" w:rsidP="007F28BA">
            <w:r>
              <w:t>1.75%</w:t>
            </w:r>
          </w:p>
        </w:tc>
        <w:tc>
          <w:tcPr>
            <w:tcW w:w="1558" w:type="dxa"/>
            <w:shd w:val="clear" w:color="auto" w:fill="F2F2F2" w:themeFill="background1" w:themeFillShade="F2"/>
          </w:tcPr>
          <w:p w14:paraId="00CC6B6C" w14:textId="20BB9D05" w:rsidR="00F419E5" w:rsidRDefault="00F419E5" w:rsidP="007F28BA">
            <w:r>
              <w:t>37</w:t>
            </w:r>
          </w:p>
        </w:tc>
        <w:tc>
          <w:tcPr>
            <w:tcW w:w="1551" w:type="dxa"/>
            <w:shd w:val="clear" w:color="auto" w:fill="F2F2F2" w:themeFill="background1" w:themeFillShade="F2"/>
          </w:tcPr>
          <w:p w14:paraId="59895151" w14:textId="4E1BF1B1" w:rsidR="00F419E5" w:rsidRDefault="00F419E5" w:rsidP="007F28BA">
            <w:r>
              <w:t>1.4%</w:t>
            </w:r>
          </w:p>
        </w:tc>
      </w:tr>
      <w:tr w:rsidR="00A3637F" w14:paraId="27F6E9C5" w14:textId="1B4765CC" w:rsidTr="00AE6FA2">
        <w:tc>
          <w:tcPr>
            <w:tcW w:w="1400" w:type="dxa"/>
          </w:tcPr>
          <w:p w14:paraId="7D35DE0F" w14:textId="30874A01" w:rsidR="00F419E5" w:rsidRDefault="00F419E5" w:rsidP="007F28BA">
            <w:r>
              <w:t>First Gen</w:t>
            </w:r>
          </w:p>
        </w:tc>
        <w:tc>
          <w:tcPr>
            <w:tcW w:w="1746" w:type="dxa"/>
          </w:tcPr>
          <w:p w14:paraId="586DA20F" w14:textId="5F3244BA" w:rsidR="00F419E5" w:rsidRDefault="00F419E5" w:rsidP="007F28BA">
            <w:r>
              <w:t>First Gen</w:t>
            </w:r>
          </w:p>
        </w:tc>
        <w:tc>
          <w:tcPr>
            <w:tcW w:w="1548" w:type="dxa"/>
          </w:tcPr>
          <w:p w14:paraId="00EEEF52" w14:textId="36AE01B0" w:rsidR="00F419E5" w:rsidRDefault="00F419E5" w:rsidP="007F28BA">
            <w:r>
              <w:t>852</w:t>
            </w:r>
          </w:p>
        </w:tc>
        <w:tc>
          <w:tcPr>
            <w:tcW w:w="1547" w:type="dxa"/>
          </w:tcPr>
          <w:p w14:paraId="695FD668" w14:textId="083C00F2" w:rsidR="00F419E5" w:rsidRDefault="00F419E5" w:rsidP="007F28BA">
            <w:r>
              <w:t>59.8%</w:t>
            </w:r>
          </w:p>
        </w:tc>
        <w:tc>
          <w:tcPr>
            <w:tcW w:w="1558" w:type="dxa"/>
          </w:tcPr>
          <w:p w14:paraId="1CB147C6" w14:textId="05598722" w:rsidR="00F419E5" w:rsidRDefault="00F419E5" w:rsidP="007F28BA">
            <w:r>
              <w:t>2343</w:t>
            </w:r>
          </w:p>
        </w:tc>
        <w:tc>
          <w:tcPr>
            <w:tcW w:w="1551" w:type="dxa"/>
          </w:tcPr>
          <w:p w14:paraId="1D190C18" w14:textId="05452A1D" w:rsidR="00F419E5" w:rsidRDefault="00F419E5" w:rsidP="007F28BA">
            <w:r>
              <w:t>88.1%</w:t>
            </w:r>
          </w:p>
        </w:tc>
      </w:tr>
      <w:tr w:rsidR="00F927B4" w14:paraId="28413E19" w14:textId="607F26B9" w:rsidTr="0048390A">
        <w:tc>
          <w:tcPr>
            <w:tcW w:w="1400" w:type="dxa"/>
            <w:shd w:val="clear" w:color="auto" w:fill="F2F2F2" w:themeFill="background1" w:themeFillShade="F2"/>
          </w:tcPr>
          <w:p w14:paraId="7B56F7AF" w14:textId="416BC492" w:rsidR="00F419E5" w:rsidRDefault="00F419E5" w:rsidP="007F28BA">
            <w:r>
              <w:t>Veteran</w:t>
            </w:r>
          </w:p>
        </w:tc>
        <w:tc>
          <w:tcPr>
            <w:tcW w:w="1746" w:type="dxa"/>
            <w:shd w:val="clear" w:color="auto" w:fill="F2F2F2" w:themeFill="background1" w:themeFillShade="F2"/>
          </w:tcPr>
          <w:p w14:paraId="4672F7BE" w14:textId="1946F7B9" w:rsidR="00F419E5" w:rsidRDefault="00F419E5" w:rsidP="007F28BA">
            <w:r>
              <w:t>Veterans</w:t>
            </w:r>
          </w:p>
        </w:tc>
        <w:tc>
          <w:tcPr>
            <w:tcW w:w="1548" w:type="dxa"/>
            <w:shd w:val="clear" w:color="auto" w:fill="F2F2F2" w:themeFill="background1" w:themeFillShade="F2"/>
          </w:tcPr>
          <w:p w14:paraId="4397114F" w14:textId="7FB1CD94" w:rsidR="00F419E5" w:rsidRDefault="00F419E5" w:rsidP="007F28BA">
            <w:r>
              <w:t>47</w:t>
            </w:r>
          </w:p>
        </w:tc>
        <w:tc>
          <w:tcPr>
            <w:tcW w:w="1547" w:type="dxa"/>
            <w:shd w:val="clear" w:color="auto" w:fill="F2F2F2" w:themeFill="background1" w:themeFillShade="F2"/>
          </w:tcPr>
          <w:p w14:paraId="157FE303" w14:textId="7FA271AF" w:rsidR="00F419E5" w:rsidRDefault="00F419E5" w:rsidP="007F28BA">
            <w:r>
              <w:t>3.3%</w:t>
            </w:r>
          </w:p>
        </w:tc>
        <w:tc>
          <w:tcPr>
            <w:tcW w:w="1558" w:type="dxa"/>
            <w:shd w:val="clear" w:color="auto" w:fill="F2F2F2" w:themeFill="background1" w:themeFillShade="F2"/>
          </w:tcPr>
          <w:p w14:paraId="66349F5D" w14:textId="6D0C2400" w:rsidR="00F419E5" w:rsidRDefault="00F419E5" w:rsidP="007F28BA">
            <w:r>
              <w:t>92</w:t>
            </w:r>
          </w:p>
        </w:tc>
        <w:tc>
          <w:tcPr>
            <w:tcW w:w="1551" w:type="dxa"/>
            <w:shd w:val="clear" w:color="auto" w:fill="F2F2F2" w:themeFill="background1" w:themeFillShade="F2"/>
          </w:tcPr>
          <w:p w14:paraId="08FD6C10" w14:textId="2C6C5886" w:rsidR="00F419E5" w:rsidRDefault="00F419E5" w:rsidP="007F28BA">
            <w:r>
              <w:t>3.4%</w:t>
            </w:r>
          </w:p>
        </w:tc>
      </w:tr>
      <w:tr w:rsidR="00A3637F" w14:paraId="15BF938C" w14:textId="68A78EA4" w:rsidTr="00AE6FA2">
        <w:tc>
          <w:tcPr>
            <w:tcW w:w="1400" w:type="dxa"/>
          </w:tcPr>
          <w:p w14:paraId="7250D22D" w14:textId="5735D00F" w:rsidR="00F419E5" w:rsidRDefault="00F419E5" w:rsidP="007F28BA">
            <w:r>
              <w:t>Athletes</w:t>
            </w:r>
          </w:p>
        </w:tc>
        <w:tc>
          <w:tcPr>
            <w:tcW w:w="1746" w:type="dxa"/>
          </w:tcPr>
          <w:p w14:paraId="69F81C4C" w14:textId="4BCB818F" w:rsidR="00F419E5" w:rsidRDefault="00F419E5" w:rsidP="007F28BA">
            <w:r>
              <w:t>Athletes</w:t>
            </w:r>
          </w:p>
        </w:tc>
        <w:tc>
          <w:tcPr>
            <w:tcW w:w="1548" w:type="dxa"/>
          </w:tcPr>
          <w:p w14:paraId="6E6279EE" w14:textId="0FBD8D92" w:rsidR="00F419E5" w:rsidRDefault="00F419E5" w:rsidP="007F28BA">
            <w:r>
              <w:t>13</w:t>
            </w:r>
          </w:p>
        </w:tc>
        <w:tc>
          <w:tcPr>
            <w:tcW w:w="1547" w:type="dxa"/>
          </w:tcPr>
          <w:p w14:paraId="52EC95FF" w14:textId="0F1D4B0B" w:rsidR="00F419E5" w:rsidRDefault="00F419E5" w:rsidP="007F28BA">
            <w:r>
              <w:t>0.01%</w:t>
            </w:r>
          </w:p>
        </w:tc>
        <w:tc>
          <w:tcPr>
            <w:tcW w:w="1558" w:type="dxa"/>
          </w:tcPr>
          <w:p w14:paraId="59433F43" w14:textId="4E1D9E4F" w:rsidR="00F419E5" w:rsidRDefault="00F419E5" w:rsidP="007F28BA">
            <w:r>
              <w:t>53</w:t>
            </w:r>
          </w:p>
        </w:tc>
        <w:tc>
          <w:tcPr>
            <w:tcW w:w="1551" w:type="dxa"/>
          </w:tcPr>
          <w:p w14:paraId="7F1808CF" w14:textId="18C56104" w:rsidR="00F419E5" w:rsidRDefault="00F419E5" w:rsidP="007F28BA">
            <w:r>
              <w:t>2%</w:t>
            </w:r>
          </w:p>
        </w:tc>
      </w:tr>
      <w:tr w:rsidR="00F927B4" w14:paraId="428D0CE5" w14:textId="56FE3308" w:rsidTr="0048390A">
        <w:tc>
          <w:tcPr>
            <w:tcW w:w="1400" w:type="dxa"/>
            <w:shd w:val="clear" w:color="auto" w:fill="F2F2F2" w:themeFill="background1" w:themeFillShade="F2"/>
          </w:tcPr>
          <w:p w14:paraId="6F9AF557" w14:textId="03BBB54C" w:rsidR="00F419E5" w:rsidRDefault="00F419E5" w:rsidP="007F28BA">
            <w:r>
              <w:t>Employees</w:t>
            </w:r>
          </w:p>
        </w:tc>
        <w:tc>
          <w:tcPr>
            <w:tcW w:w="1746" w:type="dxa"/>
            <w:shd w:val="clear" w:color="auto" w:fill="F2F2F2" w:themeFill="background1" w:themeFillShade="F2"/>
          </w:tcPr>
          <w:p w14:paraId="718C284A" w14:textId="3055451E" w:rsidR="00F419E5" w:rsidRDefault="00F419E5" w:rsidP="007F28BA">
            <w:r>
              <w:t>Employees</w:t>
            </w:r>
          </w:p>
        </w:tc>
        <w:tc>
          <w:tcPr>
            <w:tcW w:w="1548" w:type="dxa"/>
            <w:shd w:val="clear" w:color="auto" w:fill="F2F2F2" w:themeFill="background1" w:themeFillShade="F2"/>
          </w:tcPr>
          <w:p w14:paraId="28F29532" w14:textId="30FC62BB" w:rsidR="00F419E5" w:rsidRDefault="00F419E5" w:rsidP="007F28BA">
            <w:r>
              <w:t>308</w:t>
            </w:r>
          </w:p>
        </w:tc>
        <w:tc>
          <w:tcPr>
            <w:tcW w:w="1547" w:type="dxa"/>
            <w:shd w:val="clear" w:color="auto" w:fill="F2F2F2" w:themeFill="background1" w:themeFillShade="F2"/>
          </w:tcPr>
          <w:p w14:paraId="7D5271CE" w14:textId="38543AE3" w:rsidR="00F419E5" w:rsidRDefault="00D27B4D" w:rsidP="007F28BA">
            <w:r>
              <w:t>21</w:t>
            </w:r>
            <w:r w:rsidR="0077354D">
              <w:t>.6%</w:t>
            </w:r>
          </w:p>
        </w:tc>
        <w:tc>
          <w:tcPr>
            <w:tcW w:w="1558" w:type="dxa"/>
            <w:shd w:val="clear" w:color="auto" w:fill="F2F2F2" w:themeFill="background1" w:themeFillShade="F2"/>
          </w:tcPr>
          <w:p w14:paraId="5EE4F973" w14:textId="42CF2DFF" w:rsidR="00F419E5" w:rsidRDefault="00F419E5" w:rsidP="007F28BA">
            <w:r>
              <w:t>437</w:t>
            </w:r>
          </w:p>
        </w:tc>
        <w:tc>
          <w:tcPr>
            <w:tcW w:w="1551" w:type="dxa"/>
            <w:shd w:val="clear" w:color="auto" w:fill="F2F2F2" w:themeFill="background1" w:themeFillShade="F2"/>
          </w:tcPr>
          <w:p w14:paraId="70F88C67" w14:textId="6124121D" w:rsidR="00F419E5" w:rsidRDefault="0077354D" w:rsidP="007F28BA">
            <w:r>
              <w:t>16.4%</w:t>
            </w:r>
          </w:p>
        </w:tc>
      </w:tr>
      <w:tr w:rsidR="00F927B4" w14:paraId="27BF6E1D" w14:textId="741F7EC3" w:rsidTr="00AE6FA2">
        <w:tc>
          <w:tcPr>
            <w:tcW w:w="1400" w:type="dxa"/>
          </w:tcPr>
          <w:p w14:paraId="0240C71B" w14:textId="0BAD0D53" w:rsidR="00F419E5" w:rsidRDefault="00F419E5" w:rsidP="007F28BA">
            <w:r>
              <w:t xml:space="preserve">Community </w:t>
            </w:r>
          </w:p>
        </w:tc>
        <w:tc>
          <w:tcPr>
            <w:tcW w:w="1746" w:type="dxa"/>
          </w:tcPr>
          <w:p w14:paraId="38348FDF" w14:textId="10332F4C" w:rsidR="00F419E5" w:rsidRDefault="00F419E5" w:rsidP="007F28BA">
            <w:r>
              <w:t>Community</w:t>
            </w:r>
          </w:p>
        </w:tc>
        <w:tc>
          <w:tcPr>
            <w:tcW w:w="1548" w:type="dxa"/>
          </w:tcPr>
          <w:p w14:paraId="53804051" w14:textId="1CEEB3B2" w:rsidR="00F419E5" w:rsidRDefault="00F419E5" w:rsidP="007F28BA">
            <w:r>
              <w:t>82</w:t>
            </w:r>
          </w:p>
        </w:tc>
        <w:tc>
          <w:tcPr>
            <w:tcW w:w="1547" w:type="dxa"/>
          </w:tcPr>
          <w:p w14:paraId="7A304940" w14:textId="20E963AE" w:rsidR="00F419E5" w:rsidRDefault="000E01C4" w:rsidP="007F28BA">
            <w:r>
              <w:t>5.8%</w:t>
            </w:r>
          </w:p>
        </w:tc>
        <w:tc>
          <w:tcPr>
            <w:tcW w:w="1558" w:type="dxa"/>
          </w:tcPr>
          <w:p w14:paraId="297716AF" w14:textId="1C42CA72" w:rsidR="00F419E5" w:rsidRDefault="00F419E5" w:rsidP="007F28BA">
            <w:r>
              <w:t>354</w:t>
            </w:r>
          </w:p>
        </w:tc>
        <w:tc>
          <w:tcPr>
            <w:tcW w:w="1551" w:type="dxa"/>
          </w:tcPr>
          <w:p w14:paraId="774EEC9B" w14:textId="28C11013" w:rsidR="00F419E5" w:rsidRDefault="000E01C4" w:rsidP="007F28BA">
            <w:r>
              <w:t>13.3%</w:t>
            </w:r>
          </w:p>
        </w:tc>
      </w:tr>
    </w:tbl>
    <w:p w14:paraId="0D8F8986" w14:textId="77777777" w:rsidR="00C94B49" w:rsidRDefault="00C94B49" w:rsidP="00B92A78">
      <w:pPr>
        <w:spacing w:after="0" w:line="240" w:lineRule="auto"/>
      </w:pPr>
    </w:p>
    <w:p w14:paraId="353961E5" w14:textId="77777777" w:rsidR="009A2047" w:rsidRDefault="009A2047" w:rsidP="009A2047">
      <w:pPr>
        <w:sectPr w:rsidR="009A2047">
          <w:pgSz w:w="12240" w:h="15840"/>
          <w:pgMar w:top="1440" w:right="1440" w:bottom="1440" w:left="1440" w:header="720" w:footer="720" w:gutter="0"/>
          <w:cols w:space="720"/>
          <w:docGrid w:linePitch="360"/>
        </w:sectPr>
      </w:pPr>
    </w:p>
    <w:p w14:paraId="6F1E3CEB" w14:textId="2ECF3274" w:rsidR="009A2047" w:rsidRDefault="006C3D50" w:rsidP="009A2047">
      <w:r>
        <w:t xml:space="preserve">Graph 2: </w:t>
      </w:r>
      <w:r w:rsidR="009A2047">
        <w:t xml:space="preserve">Bruin Pantry Visitor </w:t>
      </w:r>
      <w:r>
        <w:t>Ethnicity, Year 1</w:t>
      </w:r>
      <w:r w:rsidR="009A2047">
        <w:tab/>
      </w:r>
    </w:p>
    <w:p w14:paraId="446B9AA6" w14:textId="29ADE886" w:rsidR="006C3D50" w:rsidRDefault="009A2047">
      <w:r>
        <w:rPr>
          <w:noProof/>
        </w:rPr>
        <w:drawing>
          <wp:inline distT="0" distB="0" distL="0" distR="0" wp14:anchorId="0FBE3519" wp14:editId="0D5D7B62">
            <wp:extent cx="2651760" cy="1523063"/>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2233" r="1499" b="2141"/>
                    <a:stretch/>
                  </pic:blipFill>
                  <pic:spPr bwMode="auto">
                    <a:xfrm>
                      <a:off x="0" y="0"/>
                      <a:ext cx="2651760" cy="1523063"/>
                    </a:xfrm>
                    <a:prstGeom prst="rect">
                      <a:avLst/>
                    </a:prstGeom>
                    <a:ln>
                      <a:noFill/>
                    </a:ln>
                    <a:extLst>
                      <a:ext uri="{53640926-AAD7-44D8-BBD7-CCE9431645EC}">
                        <a14:shadowObscured xmlns:a14="http://schemas.microsoft.com/office/drawing/2010/main"/>
                      </a:ext>
                    </a:extLst>
                  </pic:spPr>
                </pic:pic>
              </a:graphicData>
            </a:graphic>
          </wp:inline>
        </w:drawing>
      </w:r>
    </w:p>
    <w:p w14:paraId="620EC353" w14:textId="77777777" w:rsidR="009A2047" w:rsidRDefault="009A2047"/>
    <w:p w14:paraId="21B04C2F" w14:textId="0C277DB8" w:rsidR="006C3D50" w:rsidRDefault="009A2047">
      <w:r>
        <w:t>Graph 3: Bruin Pantry Visitor Ethnicity, Year 3.5</w:t>
      </w:r>
    </w:p>
    <w:p w14:paraId="6CF1E3EE" w14:textId="16C208F1" w:rsidR="009A2047" w:rsidRDefault="009A2047">
      <w:r>
        <w:rPr>
          <w:noProof/>
        </w:rPr>
        <w:drawing>
          <wp:inline distT="0" distB="0" distL="0" distR="0" wp14:anchorId="2CDDB32F" wp14:editId="193D3172">
            <wp:extent cx="2743200" cy="151169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3182" r="2546" b="1867"/>
                    <a:stretch/>
                  </pic:blipFill>
                  <pic:spPr bwMode="auto">
                    <a:xfrm>
                      <a:off x="0" y="0"/>
                      <a:ext cx="2743200" cy="1511692"/>
                    </a:xfrm>
                    <a:prstGeom prst="rect">
                      <a:avLst/>
                    </a:prstGeom>
                    <a:ln>
                      <a:noFill/>
                    </a:ln>
                    <a:extLst>
                      <a:ext uri="{53640926-AAD7-44D8-BBD7-CCE9431645EC}">
                        <a14:shadowObscured xmlns:a14="http://schemas.microsoft.com/office/drawing/2010/main"/>
                      </a:ext>
                    </a:extLst>
                  </pic:spPr>
                </pic:pic>
              </a:graphicData>
            </a:graphic>
          </wp:inline>
        </w:drawing>
      </w:r>
    </w:p>
    <w:p w14:paraId="6D5896A4" w14:textId="77777777" w:rsidR="009A2047" w:rsidRDefault="009A2047"/>
    <w:p w14:paraId="547CE51D" w14:textId="77777777" w:rsidR="009A2047" w:rsidRDefault="009A2047">
      <w:pPr>
        <w:sectPr w:rsidR="009A2047" w:rsidSect="009A2047">
          <w:type w:val="continuous"/>
          <w:pgSz w:w="12240" w:h="15840"/>
          <w:pgMar w:top="1440" w:right="1440" w:bottom="1440" w:left="1440" w:header="720" w:footer="720" w:gutter="0"/>
          <w:cols w:num="2" w:space="720"/>
          <w:docGrid w:linePitch="360"/>
        </w:sectPr>
      </w:pPr>
    </w:p>
    <w:p w14:paraId="7C818195" w14:textId="7E20D437" w:rsidR="002308BD" w:rsidRDefault="002308BD">
      <w:r>
        <w:br w:type="page"/>
      </w:r>
    </w:p>
    <w:p w14:paraId="010110E9" w14:textId="402C3F34" w:rsidR="00C94B49" w:rsidRDefault="00B92A78" w:rsidP="00B92A78">
      <w:pPr>
        <w:spacing w:after="0" w:line="240" w:lineRule="auto"/>
      </w:pPr>
      <w:r>
        <w:lastRenderedPageBreak/>
        <w:t xml:space="preserve">Chart 3: Bruin Pantry visitors terms at </w:t>
      </w:r>
      <w:r w:rsidR="00C94B49">
        <w:t>SLCC, change from year 1 to year 3</w:t>
      </w:r>
    </w:p>
    <w:tbl>
      <w:tblPr>
        <w:tblStyle w:val="TableGrid"/>
        <w:tblW w:w="0" w:type="auto"/>
        <w:tblLook w:val="04A0" w:firstRow="1" w:lastRow="0" w:firstColumn="1" w:lastColumn="0" w:noHBand="0" w:noVBand="1"/>
      </w:tblPr>
      <w:tblGrid>
        <w:gridCol w:w="2067"/>
        <w:gridCol w:w="1894"/>
        <w:gridCol w:w="1702"/>
        <w:gridCol w:w="1894"/>
        <w:gridCol w:w="1793"/>
      </w:tblGrid>
      <w:tr w:rsidR="00823FB6" w14:paraId="671EC8F0" w14:textId="059BBB36" w:rsidTr="00D80540">
        <w:tc>
          <w:tcPr>
            <w:tcW w:w="2067" w:type="dxa"/>
            <w:shd w:val="clear" w:color="auto" w:fill="BFBFBF" w:themeFill="background1" w:themeFillShade="BF"/>
          </w:tcPr>
          <w:p w14:paraId="667FE6F7" w14:textId="7352454D" w:rsidR="00823FB6" w:rsidRPr="00D80540" w:rsidRDefault="00C02D99" w:rsidP="00D80540">
            <w:pPr>
              <w:jc w:val="center"/>
              <w:rPr>
                <w:b/>
                <w:bCs/>
              </w:rPr>
            </w:pPr>
            <w:r w:rsidRPr="00D80540">
              <w:rPr>
                <w:b/>
                <w:bCs/>
              </w:rPr>
              <w:t>Prior Terms</w:t>
            </w:r>
          </w:p>
        </w:tc>
        <w:tc>
          <w:tcPr>
            <w:tcW w:w="1894" w:type="dxa"/>
            <w:shd w:val="clear" w:color="auto" w:fill="BFBFBF" w:themeFill="background1" w:themeFillShade="BF"/>
          </w:tcPr>
          <w:p w14:paraId="53CC8292" w14:textId="071045E5" w:rsidR="00823FB6" w:rsidRPr="00D80540" w:rsidRDefault="00823FB6" w:rsidP="00D80540">
            <w:pPr>
              <w:jc w:val="center"/>
              <w:rPr>
                <w:b/>
                <w:bCs/>
              </w:rPr>
            </w:pPr>
            <w:r w:rsidRPr="00D80540">
              <w:rPr>
                <w:b/>
                <w:bCs/>
              </w:rPr>
              <w:t>Year 1</w:t>
            </w:r>
          </w:p>
        </w:tc>
        <w:tc>
          <w:tcPr>
            <w:tcW w:w="1702" w:type="dxa"/>
            <w:shd w:val="clear" w:color="auto" w:fill="BFBFBF" w:themeFill="background1" w:themeFillShade="BF"/>
          </w:tcPr>
          <w:p w14:paraId="66D75B63" w14:textId="3D786C77" w:rsidR="00823FB6" w:rsidRPr="00D80540" w:rsidRDefault="00823FB6" w:rsidP="00D80540">
            <w:pPr>
              <w:jc w:val="center"/>
              <w:rPr>
                <w:b/>
                <w:bCs/>
              </w:rPr>
            </w:pPr>
            <w:r w:rsidRPr="00D80540">
              <w:rPr>
                <w:b/>
                <w:bCs/>
              </w:rPr>
              <w:t>% Year 1</w:t>
            </w:r>
          </w:p>
        </w:tc>
        <w:tc>
          <w:tcPr>
            <w:tcW w:w="1894" w:type="dxa"/>
            <w:shd w:val="clear" w:color="auto" w:fill="BFBFBF" w:themeFill="background1" w:themeFillShade="BF"/>
          </w:tcPr>
          <w:p w14:paraId="67BA0A01" w14:textId="7B221D9F" w:rsidR="00823FB6" w:rsidRPr="00D80540" w:rsidRDefault="00823FB6" w:rsidP="00D80540">
            <w:pPr>
              <w:jc w:val="center"/>
              <w:rPr>
                <w:b/>
                <w:bCs/>
              </w:rPr>
            </w:pPr>
            <w:r w:rsidRPr="00D80540">
              <w:rPr>
                <w:b/>
                <w:bCs/>
              </w:rPr>
              <w:t>Year 3.5</w:t>
            </w:r>
          </w:p>
        </w:tc>
        <w:tc>
          <w:tcPr>
            <w:tcW w:w="1793" w:type="dxa"/>
            <w:shd w:val="clear" w:color="auto" w:fill="BFBFBF" w:themeFill="background1" w:themeFillShade="BF"/>
          </w:tcPr>
          <w:p w14:paraId="4269BC7E" w14:textId="1590F7CE" w:rsidR="00823FB6" w:rsidRPr="00D80540" w:rsidRDefault="00823FB6" w:rsidP="00D80540">
            <w:pPr>
              <w:jc w:val="center"/>
              <w:rPr>
                <w:b/>
                <w:bCs/>
              </w:rPr>
            </w:pPr>
            <w:r w:rsidRPr="00D80540">
              <w:rPr>
                <w:b/>
                <w:bCs/>
              </w:rPr>
              <w:t>% Year 3.5</w:t>
            </w:r>
          </w:p>
        </w:tc>
      </w:tr>
      <w:tr w:rsidR="00823FB6" w14:paraId="46EC98EC" w14:textId="26F2A4A2" w:rsidTr="00823FB6">
        <w:tc>
          <w:tcPr>
            <w:tcW w:w="2067" w:type="dxa"/>
          </w:tcPr>
          <w:p w14:paraId="230F93B4" w14:textId="5681AFEC" w:rsidR="00823FB6" w:rsidRDefault="002C0D34" w:rsidP="00823FB6">
            <w:r>
              <w:t>0 previous terms</w:t>
            </w:r>
          </w:p>
        </w:tc>
        <w:tc>
          <w:tcPr>
            <w:tcW w:w="1894" w:type="dxa"/>
          </w:tcPr>
          <w:p w14:paraId="27A2252D" w14:textId="1B0F9713" w:rsidR="00823FB6" w:rsidRDefault="00B30BCD" w:rsidP="00823FB6">
            <w:r>
              <w:t>232</w:t>
            </w:r>
          </w:p>
        </w:tc>
        <w:tc>
          <w:tcPr>
            <w:tcW w:w="1702" w:type="dxa"/>
          </w:tcPr>
          <w:p w14:paraId="7A5B4ABF" w14:textId="20B984B6" w:rsidR="00823FB6" w:rsidRDefault="006463E8" w:rsidP="00823FB6">
            <w:r>
              <w:t>16.3%</w:t>
            </w:r>
          </w:p>
        </w:tc>
        <w:tc>
          <w:tcPr>
            <w:tcW w:w="1894" w:type="dxa"/>
          </w:tcPr>
          <w:p w14:paraId="1278FF73" w14:textId="2A6BAF68" w:rsidR="00823FB6" w:rsidRDefault="00344DA8" w:rsidP="00823FB6">
            <w:r>
              <w:t>1014</w:t>
            </w:r>
          </w:p>
        </w:tc>
        <w:tc>
          <w:tcPr>
            <w:tcW w:w="1793" w:type="dxa"/>
          </w:tcPr>
          <w:p w14:paraId="45A2AFF8" w14:textId="7B64080C" w:rsidR="00823FB6" w:rsidRDefault="006419F9" w:rsidP="00823FB6">
            <w:r>
              <w:t>38.1%</w:t>
            </w:r>
          </w:p>
        </w:tc>
      </w:tr>
      <w:tr w:rsidR="00B9660A" w14:paraId="0C925C77" w14:textId="77777777" w:rsidTr="00823FB6">
        <w:tc>
          <w:tcPr>
            <w:tcW w:w="2067" w:type="dxa"/>
          </w:tcPr>
          <w:p w14:paraId="634F986B" w14:textId="388851D6" w:rsidR="00B9660A" w:rsidRDefault="002C0D34" w:rsidP="00823FB6">
            <w:r>
              <w:t>1 previous term</w:t>
            </w:r>
          </w:p>
        </w:tc>
        <w:tc>
          <w:tcPr>
            <w:tcW w:w="1894" w:type="dxa"/>
          </w:tcPr>
          <w:p w14:paraId="7F972B6A" w14:textId="347B7781" w:rsidR="00B9660A" w:rsidRDefault="001E7EA7" w:rsidP="00823FB6">
            <w:r>
              <w:t>73</w:t>
            </w:r>
          </w:p>
        </w:tc>
        <w:tc>
          <w:tcPr>
            <w:tcW w:w="1702" w:type="dxa"/>
          </w:tcPr>
          <w:p w14:paraId="65698CF3" w14:textId="39EF446C" w:rsidR="00B9660A" w:rsidRDefault="00A631B1" w:rsidP="00823FB6">
            <w:r>
              <w:t>5.1%</w:t>
            </w:r>
          </w:p>
        </w:tc>
        <w:tc>
          <w:tcPr>
            <w:tcW w:w="1894" w:type="dxa"/>
          </w:tcPr>
          <w:p w14:paraId="1D512178" w14:textId="6FA61D0B" w:rsidR="00B9660A" w:rsidRDefault="00344DA8" w:rsidP="00823FB6">
            <w:r>
              <w:t>278</w:t>
            </w:r>
          </w:p>
        </w:tc>
        <w:tc>
          <w:tcPr>
            <w:tcW w:w="1793" w:type="dxa"/>
          </w:tcPr>
          <w:p w14:paraId="4C7DAE3E" w14:textId="0597734B" w:rsidR="00B9660A" w:rsidRDefault="00BC7A52" w:rsidP="00823FB6">
            <w:r>
              <w:t>10.5%</w:t>
            </w:r>
          </w:p>
        </w:tc>
      </w:tr>
      <w:tr w:rsidR="00B9660A" w14:paraId="4041E387" w14:textId="77777777" w:rsidTr="00823FB6">
        <w:tc>
          <w:tcPr>
            <w:tcW w:w="2067" w:type="dxa"/>
          </w:tcPr>
          <w:p w14:paraId="68382EF4" w14:textId="1B3E867F" w:rsidR="00B9660A" w:rsidRDefault="002C0D34" w:rsidP="00823FB6">
            <w:r>
              <w:t>2 previous terms</w:t>
            </w:r>
          </w:p>
        </w:tc>
        <w:tc>
          <w:tcPr>
            <w:tcW w:w="1894" w:type="dxa"/>
          </w:tcPr>
          <w:p w14:paraId="4E6E2D5E" w14:textId="345CBB00" w:rsidR="00B9660A" w:rsidRDefault="001E7EA7" w:rsidP="00823FB6">
            <w:r>
              <w:t>113</w:t>
            </w:r>
          </w:p>
        </w:tc>
        <w:tc>
          <w:tcPr>
            <w:tcW w:w="1702" w:type="dxa"/>
          </w:tcPr>
          <w:p w14:paraId="73CF4A1C" w14:textId="15645F6A" w:rsidR="00B9660A" w:rsidRDefault="008C0D3F" w:rsidP="00823FB6">
            <w:r>
              <w:t>7.9%</w:t>
            </w:r>
          </w:p>
        </w:tc>
        <w:tc>
          <w:tcPr>
            <w:tcW w:w="1894" w:type="dxa"/>
          </w:tcPr>
          <w:p w14:paraId="725B01A4" w14:textId="7D0B5F24" w:rsidR="00B9660A" w:rsidRDefault="00344DA8" w:rsidP="00823FB6">
            <w:r>
              <w:t>307</w:t>
            </w:r>
          </w:p>
        </w:tc>
        <w:tc>
          <w:tcPr>
            <w:tcW w:w="1793" w:type="dxa"/>
          </w:tcPr>
          <w:p w14:paraId="285AD8F4" w14:textId="1F1612FE" w:rsidR="00B9660A" w:rsidRDefault="00C952C8" w:rsidP="00823FB6">
            <w:r>
              <w:t>11.5%</w:t>
            </w:r>
          </w:p>
        </w:tc>
      </w:tr>
      <w:tr w:rsidR="00B9660A" w14:paraId="4D986782" w14:textId="77777777" w:rsidTr="00823FB6">
        <w:tc>
          <w:tcPr>
            <w:tcW w:w="2067" w:type="dxa"/>
          </w:tcPr>
          <w:p w14:paraId="6D02CC84" w14:textId="663B0E86" w:rsidR="00B9660A" w:rsidRDefault="00E12D16" w:rsidP="00823FB6">
            <w:r>
              <w:t>3-5 previous terms</w:t>
            </w:r>
          </w:p>
        </w:tc>
        <w:tc>
          <w:tcPr>
            <w:tcW w:w="1894" w:type="dxa"/>
          </w:tcPr>
          <w:p w14:paraId="1F6CC271" w14:textId="44062620" w:rsidR="00B9660A" w:rsidRDefault="001E7EA7" w:rsidP="00823FB6">
            <w:r>
              <w:t>225</w:t>
            </w:r>
          </w:p>
        </w:tc>
        <w:tc>
          <w:tcPr>
            <w:tcW w:w="1702" w:type="dxa"/>
          </w:tcPr>
          <w:p w14:paraId="2A6C1E7A" w14:textId="3610A0C8" w:rsidR="00B9660A" w:rsidRDefault="00D35F7C" w:rsidP="00823FB6">
            <w:r>
              <w:t>15.8%</w:t>
            </w:r>
          </w:p>
        </w:tc>
        <w:tc>
          <w:tcPr>
            <w:tcW w:w="1894" w:type="dxa"/>
          </w:tcPr>
          <w:p w14:paraId="10D9F55B" w14:textId="205A596C" w:rsidR="00B9660A" w:rsidRDefault="00344DA8" w:rsidP="00823FB6">
            <w:r>
              <w:t>498</w:t>
            </w:r>
          </w:p>
        </w:tc>
        <w:tc>
          <w:tcPr>
            <w:tcW w:w="1793" w:type="dxa"/>
          </w:tcPr>
          <w:p w14:paraId="14A65F08" w14:textId="65315F15" w:rsidR="00B9660A" w:rsidRDefault="00E31064" w:rsidP="00823FB6">
            <w:r>
              <w:t>18.7%</w:t>
            </w:r>
          </w:p>
        </w:tc>
      </w:tr>
      <w:tr w:rsidR="00B9660A" w14:paraId="15881730" w14:textId="77777777" w:rsidTr="00823FB6">
        <w:tc>
          <w:tcPr>
            <w:tcW w:w="2067" w:type="dxa"/>
          </w:tcPr>
          <w:p w14:paraId="2065CC58" w14:textId="3F507649" w:rsidR="00B9660A" w:rsidRDefault="00502269" w:rsidP="00823FB6">
            <w:r>
              <w:t>6-10 previous terms</w:t>
            </w:r>
          </w:p>
        </w:tc>
        <w:tc>
          <w:tcPr>
            <w:tcW w:w="1894" w:type="dxa"/>
          </w:tcPr>
          <w:p w14:paraId="7C5D0D27" w14:textId="7BA5024F" w:rsidR="00B9660A" w:rsidRDefault="001E7EA7" w:rsidP="00823FB6">
            <w:r>
              <w:t>489</w:t>
            </w:r>
          </w:p>
        </w:tc>
        <w:tc>
          <w:tcPr>
            <w:tcW w:w="1702" w:type="dxa"/>
          </w:tcPr>
          <w:p w14:paraId="18CE926C" w14:textId="49E55168" w:rsidR="00B9660A" w:rsidRDefault="00F51ADA" w:rsidP="00823FB6">
            <w:r>
              <w:t>34.3%</w:t>
            </w:r>
          </w:p>
        </w:tc>
        <w:tc>
          <w:tcPr>
            <w:tcW w:w="1894" w:type="dxa"/>
          </w:tcPr>
          <w:p w14:paraId="47D3F973" w14:textId="3E30E089" w:rsidR="00B9660A" w:rsidRDefault="00344DA8" w:rsidP="00823FB6">
            <w:r>
              <w:t>394</w:t>
            </w:r>
          </w:p>
        </w:tc>
        <w:tc>
          <w:tcPr>
            <w:tcW w:w="1793" w:type="dxa"/>
          </w:tcPr>
          <w:p w14:paraId="2A157DCE" w14:textId="074AF01B" w:rsidR="00B9660A" w:rsidRDefault="004034D6" w:rsidP="00823FB6">
            <w:r>
              <w:t>14.8%</w:t>
            </w:r>
          </w:p>
        </w:tc>
      </w:tr>
      <w:tr w:rsidR="00B9660A" w14:paraId="759D8781" w14:textId="77777777" w:rsidTr="00823FB6">
        <w:tc>
          <w:tcPr>
            <w:tcW w:w="2067" w:type="dxa"/>
          </w:tcPr>
          <w:p w14:paraId="35EDC5A4" w14:textId="40990689" w:rsidR="00B9660A" w:rsidRDefault="00502269" w:rsidP="00823FB6">
            <w:r>
              <w:t>11+ previous terms</w:t>
            </w:r>
          </w:p>
        </w:tc>
        <w:tc>
          <w:tcPr>
            <w:tcW w:w="1894" w:type="dxa"/>
          </w:tcPr>
          <w:p w14:paraId="7DC3FE1D" w14:textId="24B2B233" w:rsidR="00B9660A" w:rsidRDefault="001E7EA7" w:rsidP="00823FB6">
            <w:r>
              <w:t>264</w:t>
            </w:r>
          </w:p>
        </w:tc>
        <w:tc>
          <w:tcPr>
            <w:tcW w:w="1702" w:type="dxa"/>
          </w:tcPr>
          <w:p w14:paraId="62F8A10F" w14:textId="2EFC5873" w:rsidR="00B9660A" w:rsidRDefault="00E25CFD" w:rsidP="00823FB6">
            <w:r>
              <w:t>18.5%</w:t>
            </w:r>
          </w:p>
        </w:tc>
        <w:tc>
          <w:tcPr>
            <w:tcW w:w="1894" w:type="dxa"/>
          </w:tcPr>
          <w:p w14:paraId="7747A678" w14:textId="5C6E5E24" w:rsidR="00B9660A" w:rsidRDefault="00344DA8" w:rsidP="00823FB6">
            <w:r>
              <w:t>169</w:t>
            </w:r>
          </w:p>
        </w:tc>
        <w:tc>
          <w:tcPr>
            <w:tcW w:w="1793" w:type="dxa"/>
          </w:tcPr>
          <w:p w14:paraId="12CA4AA0" w14:textId="01F282C4" w:rsidR="00B9660A" w:rsidRDefault="004C1733" w:rsidP="00823FB6">
            <w:r>
              <w:t>6.4%</w:t>
            </w:r>
          </w:p>
        </w:tc>
      </w:tr>
    </w:tbl>
    <w:p w14:paraId="054A05DC" w14:textId="7432D11B" w:rsidR="00BD43D8" w:rsidRDefault="00BD43D8" w:rsidP="00233D25">
      <w:pPr>
        <w:spacing w:after="0" w:line="240" w:lineRule="auto"/>
      </w:pPr>
    </w:p>
    <w:sectPr w:rsidR="00BD43D8" w:rsidSect="009A204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4617"/>
    <w:multiLevelType w:val="multilevel"/>
    <w:tmpl w:val="24D8EA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B5174D"/>
    <w:multiLevelType w:val="multilevel"/>
    <w:tmpl w:val="117872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FBF6535"/>
    <w:multiLevelType w:val="hybridMultilevel"/>
    <w:tmpl w:val="B858B4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1622BA3"/>
    <w:multiLevelType w:val="multilevel"/>
    <w:tmpl w:val="99FCE2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33A04CD"/>
    <w:multiLevelType w:val="hybridMultilevel"/>
    <w:tmpl w:val="B5285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376C8C"/>
    <w:multiLevelType w:val="multilevel"/>
    <w:tmpl w:val="E91C97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0960C2"/>
    <w:multiLevelType w:val="hybridMultilevel"/>
    <w:tmpl w:val="865C0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FF4D70"/>
    <w:multiLevelType w:val="multilevel"/>
    <w:tmpl w:val="10304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E95C95"/>
    <w:multiLevelType w:val="hybridMultilevel"/>
    <w:tmpl w:val="28A82366"/>
    <w:lvl w:ilvl="0" w:tplc="7786ADFC">
      <w:start w:val="1"/>
      <w:numFmt w:val="decimal"/>
      <w:lvlText w:val="%1."/>
      <w:lvlJc w:val="left"/>
      <w:pPr>
        <w:ind w:left="720" w:hanging="360"/>
      </w:pPr>
      <w:rPr>
        <w:rFonts w:hint="default"/>
        <w:b w:val="0"/>
        <w:bCs/>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4EB412B"/>
    <w:multiLevelType w:val="multilevel"/>
    <w:tmpl w:val="C22E11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7068F4"/>
    <w:multiLevelType w:val="hybridMultilevel"/>
    <w:tmpl w:val="2CBEC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AD685D"/>
    <w:multiLevelType w:val="multilevel"/>
    <w:tmpl w:val="E752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4B40A3"/>
    <w:multiLevelType w:val="hybridMultilevel"/>
    <w:tmpl w:val="CF404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15122F"/>
    <w:multiLevelType w:val="multilevel"/>
    <w:tmpl w:val="812E23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52205447"/>
    <w:multiLevelType w:val="multilevel"/>
    <w:tmpl w:val="C89476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285EDA"/>
    <w:multiLevelType w:val="multilevel"/>
    <w:tmpl w:val="271CA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845189"/>
    <w:multiLevelType w:val="hybridMultilevel"/>
    <w:tmpl w:val="E78CA5AC"/>
    <w:lvl w:ilvl="0" w:tplc="5540E11C">
      <w:start w:val="1"/>
      <w:numFmt w:val="bullet"/>
      <w:lvlText w:val=""/>
      <w:lvlJc w:val="left"/>
      <w:pPr>
        <w:ind w:left="720" w:hanging="360"/>
      </w:pPr>
      <w:rPr>
        <w:rFonts w:ascii="Symbol" w:hAnsi="Symbol" w:hint="default"/>
      </w:rPr>
    </w:lvl>
    <w:lvl w:ilvl="1" w:tplc="845424F4">
      <w:start w:val="1"/>
      <w:numFmt w:val="bullet"/>
      <w:lvlText w:val="o"/>
      <w:lvlJc w:val="left"/>
      <w:pPr>
        <w:ind w:left="1440" w:hanging="360"/>
      </w:pPr>
      <w:rPr>
        <w:rFonts w:ascii="Courier New" w:hAnsi="Courier New" w:hint="default"/>
      </w:rPr>
    </w:lvl>
    <w:lvl w:ilvl="2" w:tplc="2166945C">
      <w:start w:val="1"/>
      <w:numFmt w:val="bullet"/>
      <w:lvlText w:val=""/>
      <w:lvlJc w:val="left"/>
      <w:pPr>
        <w:ind w:left="2160" w:hanging="360"/>
      </w:pPr>
      <w:rPr>
        <w:rFonts w:ascii="Wingdings" w:hAnsi="Wingdings" w:hint="default"/>
      </w:rPr>
    </w:lvl>
    <w:lvl w:ilvl="3" w:tplc="13701A14">
      <w:start w:val="1"/>
      <w:numFmt w:val="bullet"/>
      <w:lvlText w:val=""/>
      <w:lvlJc w:val="left"/>
      <w:pPr>
        <w:ind w:left="2880" w:hanging="360"/>
      </w:pPr>
      <w:rPr>
        <w:rFonts w:ascii="Symbol" w:hAnsi="Symbol" w:hint="default"/>
      </w:rPr>
    </w:lvl>
    <w:lvl w:ilvl="4" w:tplc="E8FCCBBC">
      <w:start w:val="1"/>
      <w:numFmt w:val="bullet"/>
      <w:lvlText w:val="o"/>
      <w:lvlJc w:val="left"/>
      <w:pPr>
        <w:ind w:left="3600" w:hanging="360"/>
      </w:pPr>
      <w:rPr>
        <w:rFonts w:ascii="Courier New" w:hAnsi="Courier New" w:hint="default"/>
      </w:rPr>
    </w:lvl>
    <w:lvl w:ilvl="5" w:tplc="810C2BBC">
      <w:start w:val="1"/>
      <w:numFmt w:val="bullet"/>
      <w:lvlText w:val=""/>
      <w:lvlJc w:val="left"/>
      <w:pPr>
        <w:ind w:left="4320" w:hanging="360"/>
      </w:pPr>
      <w:rPr>
        <w:rFonts w:ascii="Wingdings" w:hAnsi="Wingdings" w:hint="default"/>
      </w:rPr>
    </w:lvl>
    <w:lvl w:ilvl="6" w:tplc="2A8C932C">
      <w:start w:val="1"/>
      <w:numFmt w:val="bullet"/>
      <w:lvlText w:val=""/>
      <w:lvlJc w:val="left"/>
      <w:pPr>
        <w:ind w:left="5040" w:hanging="360"/>
      </w:pPr>
      <w:rPr>
        <w:rFonts w:ascii="Symbol" w:hAnsi="Symbol" w:hint="default"/>
      </w:rPr>
    </w:lvl>
    <w:lvl w:ilvl="7" w:tplc="740ED658">
      <w:start w:val="1"/>
      <w:numFmt w:val="bullet"/>
      <w:lvlText w:val="o"/>
      <w:lvlJc w:val="left"/>
      <w:pPr>
        <w:ind w:left="5760" w:hanging="360"/>
      </w:pPr>
      <w:rPr>
        <w:rFonts w:ascii="Courier New" w:hAnsi="Courier New" w:hint="default"/>
      </w:rPr>
    </w:lvl>
    <w:lvl w:ilvl="8" w:tplc="8C66AC58">
      <w:start w:val="1"/>
      <w:numFmt w:val="bullet"/>
      <w:lvlText w:val=""/>
      <w:lvlJc w:val="left"/>
      <w:pPr>
        <w:ind w:left="6480" w:hanging="360"/>
      </w:pPr>
      <w:rPr>
        <w:rFonts w:ascii="Wingdings" w:hAnsi="Wingdings" w:hint="default"/>
      </w:rPr>
    </w:lvl>
  </w:abstractNum>
  <w:abstractNum w:abstractNumId="17" w15:restartNumberingAfterBreak="0">
    <w:nsid w:val="74936B9C"/>
    <w:multiLevelType w:val="hybridMultilevel"/>
    <w:tmpl w:val="FBC09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5542737">
    <w:abstractNumId w:val="16"/>
  </w:num>
  <w:num w:numId="2" w16cid:durableId="731075498">
    <w:abstractNumId w:val="17"/>
  </w:num>
  <w:num w:numId="3" w16cid:durableId="1616057813">
    <w:abstractNumId w:val="4"/>
  </w:num>
  <w:num w:numId="4" w16cid:durableId="494883673">
    <w:abstractNumId w:val="10"/>
  </w:num>
  <w:num w:numId="5" w16cid:durableId="1715693636">
    <w:abstractNumId w:val="6"/>
  </w:num>
  <w:num w:numId="6" w16cid:durableId="1136794940">
    <w:abstractNumId w:val="12"/>
  </w:num>
  <w:num w:numId="7" w16cid:durableId="946960133">
    <w:abstractNumId w:val="11"/>
  </w:num>
  <w:num w:numId="8" w16cid:durableId="1054163880">
    <w:abstractNumId w:val="13"/>
  </w:num>
  <w:num w:numId="9" w16cid:durableId="1239294149">
    <w:abstractNumId w:val="1"/>
  </w:num>
  <w:num w:numId="10" w16cid:durableId="1540043744">
    <w:abstractNumId w:val="15"/>
  </w:num>
  <w:num w:numId="11" w16cid:durableId="1432360307">
    <w:abstractNumId w:val="14"/>
  </w:num>
  <w:num w:numId="12" w16cid:durableId="287317631">
    <w:abstractNumId w:val="3"/>
  </w:num>
  <w:num w:numId="13" w16cid:durableId="447165228">
    <w:abstractNumId w:val="9"/>
  </w:num>
  <w:num w:numId="14" w16cid:durableId="1551304309">
    <w:abstractNumId w:val="0"/>
  </w:num>
  <w:num w:numId="15" w16cid:durableId="1476068165">
    <w:abstractNumId w:val="7"/>
  </w:num>
  <w:num w:numId="16" w16cid:durableId="355276644">
    <w:abstractNumId w:val="5"/>
  </w:num>
  <w:num w:numId="17" w16cid:durableId="1185556279">
    <w:abstractNumId w:val="2"/>
  </w:num>
  <w:num w:numId="18" w16cid:durableId="6568083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926"/>
    <w:rsid w:val="00010764"/>
    <w:rsid w:val="000218A2"/>
    <w:rsid w:val="00034A5B"/>
    <w:rsid w:val="000427C8"/>
    <w:rsid w:val="00042C21"/>
    <w:rsid w:val="00042CB1"/>
    <w:rsid w:val="00056E9B"/>
    <w:rsid w:val="00070F26"/>
    <w:rsid w:val="000A1F35"/>
    <w:rsid w:val="000B3EBB"/>
    <w:rsid w:val="000C15A7"/>
    <w:rsid w:val="000E01C4"/>
    <w:rsid w:val="000E670C"/>
    <w:rsid w:val="000F4B5B"/>
    <w:rsid w:val="0011415B"/>
    <w:rsid w:val="00122A57"/>
    <w:rsid w:val="00124FD1"/>
    <w:rsid w:val="00135B01"/>
    <w:rsid w:val="00151C61"/>
    <w:rsid w:val="001626A0"/>
    <w:rsid w:val="00163E22"/>
    <w:rsid w:val="001678AF"/>
    <w:rsid w:val="00195D08"/>
    <w:rsid w:val="00197359"/>
    <w:rsid w:val="001A0C8B"/>
    <w:rsid w:val="001A7BF4"/>
    <w:rsid w:val="001B6CB9"/>
    <w:rsid w:val="001C1C49"/>
    <w:rsid w:val="001C551A"/>
    <w:rsid w:val="001C641C"/>
    <w:rsid w:val="001D12FC"/>
    <w:rsid w:val="001D1AC0"/>
    <w:rsid w:val="001D61D6"/>
    <w:rsid w:val="001D70A9"/>
    <w:rsid w:val="001E292E"/>
    <w:rsid w:val="001E7EA7"/>
    <w:rsid w:val="001F116F"/>
    <w:rsid w:val="00200CD1"/>
    <w:rsid w:val="00201208"/>
    <w:rsid w:val="00207398"/>
    <w:rsid w:val="00221B79"/>
    <w:rsid w:val="00226F4A"/>
    <w:rsid w:val="002308BD"/>
    <w:rsid w:val="00233334"/>
    <w:rsid w:val="00233D25"/>
    <w:rsid w:val="00234B0F"/>
    <w:rsid w:val="0023699B"/>
    <w:rsid w:val="00240505"/>
    <w:rsid w:val="0024070F"/>
    <w:rsid w:val="00244210"/>
    <w:rsid w:val="00253476"/>
    <w:rsid w:val="002600D2"/>
    <w:rsid w:val="002643CD"/>
    <w:rsid w:val="00267366"/>
    <w:rsid w:val="0027337C"/>
    <w:rsid w:val="00280209"/>
    <w:rsid w:val="00290C1C"/>
    <w:rsid w:val="00296611"/>
    <w:rsid w:val="002A01B3"/>
    <w:rsid w:val="002A22DD"/>
    <w:rsid w:val="002B01A8"/>
    <w:rsid w:val="002B5D8C"/>
    <w:rsid w:val="002C0D34"/>
    <w:rsid w:val="002C1983"/>
    <w:rsid w:val="002D1BEF"/>
    <w:rsid w:val="002D4883"/>
    <w:rsid w:val="002E0EEF"/>
    <w:rsid w:val="002E128C"/>
    <w:rsid w:val="002F0C09"/>
    <w:rsid w:val="002F258A"/>
    <w:rsid w:val="002F354C"/>
    <w:rsid w:val="002F7996"/>
    <w:rsid w:val="00304A22"/>
    <w:rsid w:val="00304FE3"/>
    <w:rsid w:val="00311588"/>
    <w:rsid w:val="00315F5C"/>
    <w:rsid w:val="00324BEF"/>
    <w:rsid w:val="00333CBB"/>
    <w:rsid w:val="00344DA8"/>
    <w:rsid w:val="00352D0C"/>
    <w:rsid w:val="0035629A"/>
    <w:rsid w:val="0037122B"/>
    <w:rsid w:val="003716D4"/>
    <w:rsid w:val="0038563D"/>
    <w:rsid w:val="00385B51"/>
    <w:rsid w:val="00386127"/>
    <w:rsid w:val="0039286A"/>
    <w:rsid w:val="00392E9C"/>
    <w:rsid w:val="003B2CC9"/>
    <w:rsid w:val="003C31BE"/>
    <w:rsid w:val="003C40C2"/>
    <w:rsid w:val="003C4922"/>
    <w:rsid w:val="003C4EF8"/>
    <w:rsid w:val="003D69BC"/>
    <w:rsid w:val="003E45F5"/>
    <w:rsid w:val="003F1247"/>
    <w:rsid w:val="003F1C69"/>
    <w:rsid w:val="004034D6"/>
    <w:rsid w:val="00406CD9"/>
    <w:rsid w:val="00411EEC"/>
    <w:rsid w:val="004200CC"/>
    <w:rsid w:val="00436930"/>
    <w:rsid w:val="004375AD"/>
    <w:rsid w:val="00441DDB"/>
    <w:rsid w:val="0044748F"/>
    <w:rsid w:val="004530AB"/>
    <w:rsid w:val="00466B23"/>
    <w:rsid w:val="00467D97"/>
    <w:rsid w:val="004744D2"/>
    <w:rsid w:val="00482B84"/>
    <w:rsid w:val="0048390A"/>
    <w:rsid w:val="004A68D8"/>
    <w:rsid w:val="004B5BAF"/>
    <w:rsid w:val="004C1733"/>
    <w:rsid w:val="004C41EE"/>
    <w:rsid w:val="004C666F"/>
    <w:rsid w:val="004E0498"/>
    <w:rsid w:val="004E40FB"/>
    <w:rsid w:val="004F18A2"/>
    <w:rsid w:val="004F2588"/>
    <w:rsid w:val="004F5FFD"/>
    <w:rsid w:val="00502269"/>
    <w:rsid w:val="00507182"/>
    <w:rsid w:val="005215EA"/>
    <w:rsid w:val="00525412"/>
    <w:rsid w:val="00533C75"/>
    <w:rsid w:val="005352CD"/>
    <w:rsid w:val="005553C7"/>
    <w:rsid w:val="00562060"/>
    <w:rsid w:val="00562BE5"/>
    <w:rsid w:val="00587106"/>
    <w:rsid w:val="005B5DFD"/>
    <w:rsid w:val="005B7E7A"/>
    <w:rsid w:val="005C41AC"/>
    <w:rsid w:val="005C55B6"/>
    <w:rsid w:val="005D0584"/>
    <w:rsid w:val="005F0931"/>
    <w:rsid w:val="005F3833"/>
    <w:rsid w:val="00607C1B"/>
    <w:rsid w:val="00610B5D"/>
    <w:rsid w:val="00620890"/>
    <w:rsid w:val="0062178D"/>
    <w:rsid w:val="006331EA"/>
    <w:rsid w:val="00634A30"/>
    <w:rsid w:val="00636D8F"/>
    <w:rsid w:val="006372AF"/>
    <w:rsid w:val="00640545"/>
    <w:rsid w:val="006419F9"/>
    <w:rsid w:val="00642684"/>
    <w:rsid w:val="00644B6D"/>
    <w:rsid w:val="006463E8"/>
    <w:rsid w:val="006541C3"/>
    <w:rsid w:val="00655B14"/>
    <w:rsid w:val="006636D6"/>
    <w:rsid w:val="00670C16"/>
    <w:rsid w:val="00677C31"/>
    <w:rsid w:val="00687090"/>
    <w:rsid w:val="00696682"/>
    <w:rsid w:val="006A58B7"/>
    <w:rsid w:val="006B3BB6"/>
    <w:rsid w:val="006C02D2"/>
    <w:rsid w:val="006C0B9C"/>
    <w:rsid w:val="006C2923"/>
    <w:rsid w:val="006C3D50"/>
    <w:rsid w:val="006C4DB3"/>
    <w:rsid w:val="006C7920"/>
    <w:rsid w:val="006D0318"/>
    <w:rsid w:val="006D4C96"/>
    <w:rsid w:val="0073163D"/>
    <w:rsid w:val="007333B9"/>
    <w:rsid w:val="007428FF"/>
    <w:rsid w:val="0074324E"/>
    <w:rsid w:val="00744CD4"/>
    <w:rsid w:val="00747404"/>
    <w:rsid w:val="007511D8"/>
    <w:rsid w:val="00754C5E"/>
    <w:rsid w:val="00760E27"/>
    <w:rsid w:val="0077354D"/>
    <w:rsid w:val="0077473B"/>
    <w:rsid w:val="00775F2D"/>
    <w:rsid w:val="007812F5"/>
    <w:rsid w:val="0078423C"/>
    <w:rsid w:val="00784DE8"/>
    <w:rsid w:val="00787FBB"/>
    <w:rsid w:val="007A334E"/>
    <w:rsid w:val="007B3E35"/>
    <w:rsid w:val="007B5309"/>
    <w:rsid w:val="007B5F38"/>
    <w:rsid w:val="007C6613"/>
    <w:rsid w:val="007C7926"/>
    <w:rsid w:val="007D0436"/>
    <w:rsid w:val="007D09F6"/>
    <w:rsid w:val="007D710D"/>
    <w:rsid w:val="007E1460"/>
    <w:rsid w:val="007E4651"/>
    <w:rsid w:val="007F1147"/>
    <w:rsid w:val="007F1CB4"/>
    <w:rsid w:val="007F28BA"/>
    <w:rsid w:val="0081368A"/>
    <w:rsid w:val="008238E5"/>
    <w:rsid w:val="00823FB6"/>
    <w:rsid w:val="008241C7"/>
    <w:rsid w:val="00824558"/>
    <w:rsid w:val="00860324"/>
    <w:rsid w:val="00862CF1"/>
    <w:rsid w:val="00871564"/>
    <w:rsid w:val="00872013"/>
    <w:rsid w:val="00875088"/>
    <w:rsid w:val="00880787"/>
    <w:rsid w:val="00880C3C"/>
    <w:rsid w:val="00880DD7"/>
    <w:rsid w:val="00887188"/>
    <w:rsid w:val="00894F03"/>
    <w:rsid w:val="008A22C8"/>
    <w:rsid w:val="008B2C2D"/>
    <w:rsid w:val="008C0D3F"/>
    <w:rsid w:val="008C1BE0"/>
    <w:rsid w:val="008C7F85"/>
    <w:rsid w:val="008F2E50"/>
    <w:rsid w:val="008F300A"/>
    <w:rsid w:val="008F5ECA"/>
    <w:rsid w:val="008F6C6B"/>
    <w:rsid w:val="009018B7"/>
    <w:rsid w:val="00901FD0"/>
    <w:rsid w:val="00914EEC"/>
    <w:rsid w:val="0092203D"/>
    <w:rsid w:val="00927DAE"/>
    <w:rsid w:val="009404A7"/>
    <w:rsid w:val="0094462E"/>
    <w:rsid w:val="00944B10"/>
    <w:rsid w:val="00954A89"/>
    <w:rsid w:val="00962CD8"/>
    <w:rsid w:val="00974D64"/>
    <w:rsid w:val="0097731C"/>
    <w:rsid w:val="00982D8F"/>
    <w:rsid w:val="009A2047"/>
    <w:rsid w:val="009A78EA"/>
    <w:rsid w:val="009E0995"/>
    <w:rsid w:val="009E1995"/>
    <w:rsid w:val="009F0DE5"/>
    <w:rsid w:val="009F5A32"/>
    <w:rsid w:val="009F5C3E"/>
    <w:rsid w:val="00A01216"/>
    <w:rsid w:val="00A01567"/>
    <w:rsid w:val="00A14A1A"/>
    <w:rsid w:val="00A3637F"/>
    <w:rsid w:val="00A36432"/>
    <w:rsid w:val="00A3686B"/>
    <w:rsid w:val="00A370BB"/>
    <w:rsid w:val="00A41E1D"/>
    <w:rsid w:val="00A46DCF"/>
    <w:rsid w:val="00A54063"/>
    <w:rsid w:val="00A55DCF"/>
    <w:rsid w:val="00A62C7A"/>
    <w:rsid w:val="00A631B1"/>
    <w:rsid w:val="00A64FF9"/>
    <w:rsid w:val="00A73C11"/>
    <w:rsid w:val="00A813B5"/>
    <w:rsid w:val="00A9454F"/>
    <w:rsid w:val="00AA6563"/>
    <w:rsid w:val="00AB5711"/>
    <w:rsid w:val="00AC117A"/>
    <w:rsid w:val="00AD4360"/>
    <w:rsid w:val="00AE22CA"/>
    <w:rsid w:val="00AE2A25"/>
    <w:rsid w:val="00AE6FA2"/>
    <w:rsid w:val="00AF2BCD"/>
    <w:rsid w:val="00AF7F10"/>
    <w:rsid w:val="00B04A9E"/>
    <w:rsid w:val="00B05A47"/>
    <w:rsid w:val="00B10794"/>
    <w:rsid w:val="00B16611"/>
    <w:rsid w:val="00B16E35"/>
    <w:rsid w:val="00B231B0"/>
    <w:rsid w:val="00B30BCD"/>
    <w:rsid w:val="00B317CF"/>
    <w:rsid w:val="00B44829"/>
    <w:rsid w:val="00B466B7"/>
    <w:rsid w:val="00B54981"/>
    <w:rsid w:val="00B55114"/>
    <w:rsid w:val="00B563E1"/>
    <w:rsid w:val="00B606EB"/>
    <w:rsid w:val="00B662CA"/>
    <w:rsid w:val="00B678AA"/>
    <w:rsid w:val="00B82706"/>
    <w:rsid w:val="00B92A78"/>
    <w:rsid w:val="00B9660A"/>
    <w:rsid w:val="00BB0A9A"/>
    <w:rsid w:val="00BC7A52"/>
    <w:rsid w:val="00BD159F"/>
    <w:rsid w:val="00BD208A"/>
    <w:rsid w:val="00BD43D8"/>
    <w:rsid w:val="00BD4843"/>
    <w:rsid w:val="00BE69D9"/>
    <w:rsid w:val="00C01E65"/>
    <w:rsid w:val="00C02D99"/>
    <w:rsid w:val="00C02FAC"/>
    <w:rsid w:val="00C0766A"/>
    <w:rsid w:val="00C12055"/>
    <w:rsid w:val="00C243EE"/>
    <w:rsid w:val="00C31BB4"/>
    <w:rsid w:val="00C343F9"/>
    <w:rsid w:val="00C34E6B"/>
    <w:rsid w:val="00C412C9"/>
    <w:rsid w:val="00C46A00"/>
    <w:rsid w:val="00C65BE7"/>
    <w:rsid w:val="00C71A84"/>
    <w:rsid w:val="00C822D4"/>
    <w:rsid w:val="00C94B49"/>
    <w:rsid w:val="00C952C8"/>
    <w:rsid w:val="00C974F2"/>
    <w:rsid w:val="00CA3F41"/>
    <w:rsid w:val="00CA7DAE"/>
    <w:rsid w:val="00CB1682"/>
    <w:rsid w:val="00CC17D6"/>
    <w:rsid w:val="00CD27F3"/>
    <w:rsid w:val="00CD4576"/>
    <w:rsid w:val="00CE0995"/>
    <w:rsid w:val="00CF19A3"/>
    <w:rsid w:val="00CF42AA"/>
    <w:rsid w:val="00D0104A"/>
    <w:rsid w:val="00D04188"/>
    <w:rsid w:val="00D23E9B"/>
    <w:rsid w:val="00D274DF"/>
    <w:rsid w:val="00D27B4D"/>
    <w:rsid w:val="00D35F7C"/>
    <w:rsid w:val="00D3640D"/>
    <w:rsid w:val="00D412C2"/>
    <w:rsid w:val="00D41997"/>
    <w:rsid w:val="00D4278E"/>
    <w:rsid w:val="00D435C6"/>
    <w:rsid w:val="00D6532A"/>
    <w:rsid w:val="00D716FA"/>
    <w:rsid w:val="00D80540"/>
    <w:rsid w:val="00D943A1"/>
    <w:rsid w:val="00D95359"/>
    <w:rsid w:val="00DA1EF0"/>
    <w:rsid w:val="00DA6084"/>
    <w:rsid w:val="00DB0BD2"/>
    <w:rsid w:val="00DB32BA"/>
    <w:rsid w:val="00DB408C"/>
    <w:rsid w:val="00DB7A28"/>
    <w:rsid w:val="00DC0E81"/>
    <w:rsid w:val="00DE2A3A"/>
    <w:rsid w:val="00DE7D9B"/>
    <w:rsid w:val="00E05CCD"/>
    <w:rsid w:val="00E116C1"/>
    <w:rsid w:val="00E12D16"/>
    <w:rsid w:val="00E2388B"/>
    <w:rsid w:val="00E24872"/>
    <w:rsid w:val="00E24895"/>
    <w:rsid w:val="00E25CFD"/>
    <w:rsid w:val="00E27813"/>
    <w:rsid w:val="00E278AB"/>
    <w:rsid w:val="00E31064"/>
    <w:rsid w:val="00E3371F"/>
    <w:rsid w:val="00E375B4"/>
    <w:rsid w:val="00E42C2D"/>
    <w:rsid w:val="00E43A8F"/>
    <w:rsid w:val="00E47868"/>
    <w:rsid w:val="00E62CBC"/>
    <w:rsid w:val="00E73DA5"/>
    <w:rsid w:val="00E836D4"/>
    <w:rsid w:val="00E87C2B"/>
    <w:rsid w:val="00EA0182"/>
    <w:rsid w:val="00EA6DDF"/>
    <w:rsid w:val="00EB26EB"/>
    <w:rsid w:val="00EB2B64"/>
    <w:rsid w:val="00EB38EE"/>
    <w:rsid w:val="00EC6620"/>
    <w:rsid w:val="00ED5B0C"/>
    <w:rsid w:val="00EF0DC0"/>
    <w:rsid w:val="00F01015"/>
    <w:rsid w:val="00F04D2C"/>
    <w:rsid w:val="00F119D2"/>
    <w:rsid w:val="00F20149"/>
    <w:rsid w:val="00F30C5D"/>
    <w:rsid w:val="00F32862"/>
    <w:rsid w:val="00F419E5"/>
    <w:rsid w:val="00F51ADA"/>
    <w:rsid w:val="00F909F7"/>
    <w:rsid w:val="00F927B4"/>
    <w:rsid w:val="00F92CA5"/>
    <w:rsid w:val="00F94703"/>
    <w:rsid w:val="00F9629D"/>
    <w:rsid w:val="00FA38C8"/>
    <w:rsid w:val="00FA5FB7"/>
    <w:rsid w:val="00FB00FE"/>
    <w:rsid w:val="00FB4649"/>
    <w:rsid w:val="00FB4A21"/>
    <w:rsid w:val="00FB6369"/>
    <w:rsid w:val="00FB67F5"/>
    <w:rsid w:val="00FD0F59"/>
    <w:rsid w:val="00FD75A6"/>
    <w:rsid w:val="00FE3705"/>
    <w:rsid w:val="00FE492C"/>
    <w:rsid w:val="00FE6D80"/>
    <w:rsid w:val="00FF5EFC"/>
    <w:rsid w:val="1A806D4A"/>
    <w:rsid w:val="216724B1"/>
    <w:rsid w:val="26EA90C8"/>
    <w:rsid w:val="2E75EAA6"/>
    <w:rsid w:val="35F1308A"/>
    <w:rsid w:val="3B0E2A8D"/>
    <w:rsid w:val="43E0FCA9"/>
    <w:rsid w:val="5244AE15"/>
    <w:rsid w:val="526E2A71"/>
    <w:rsid w:val="547F93F5"/>
    <w:rsid w:val="58A0FA04"/>
    <w:rsid w:val="5BE62430"/>
    <w:rsid w:val="5E57C9CA"/>
    <w:rsid w:val="662B2FA5"/>
    <w:rsid w:val="669F4067"/>
    <w:rsid w:val="69EC180F"/>
    <w:rsid w:val="6ABC5007"/>
    <w:rsid w:val="73389AAA"/>
    <w:rsid w:val="752B6F55"/>
    <w:rsid w:val="79BDA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3BCF4"/>
  <w15:chartTrackingRefBased/>
  <w15:docId w15:val="{1D87DE07-2888-4315-9B55-3D6791EF3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7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1216"/>
    <w:pPr>
      <w:ind w:left="720"/>
      <w:contextualSpacing/>
    </w:pPr>
  </w:style>
  <w:style w:type="paragraph" w:customStyle="1" w:styleId="paragraph">
    <w:name w:val="paragraph"/>
    <w:basedOn w:val="Normal"/>
    <w:rsid w:val="00CC17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C17D6"/>
  </w:style>
  <w:style w:type="character" w:customStyle="1" w:styleId="eop">
    <w:name w:val="eop"/>
    <w:basedOn w:val="DefaultParagraphFont"/>
    <w:rsid w:val="00CC17D6"/>
  </w:style>
  <w:style w:type="character" w:styleId="CommentReference">
    <w:name w:val="annotation reference"/>
    <w:basedOn w:val="DefaultParagraphFont"/>
    <w:uiPriority w:val="99"/>
    <w:semiHidden/>
    <w:unhideWhenUsed/>
    <w:rsid w:val="00A01567"/>
    <w:rPr>
      <w:sz w:val="16"/>
      <w:szCs w:val="16"/>
    </w:rPr>
  </w:style>
  <w:style w:type="paragraph" w:styleId="CommentText">
    <w:name w:val="annotation text"/>
    <w:basedOn w:val="Normal"/>
    <w:link w:val="CommentTextChar"/>
    <w:uiPriority w:val="99"/>
    <w:semiHidden/>
    <w:unhideWhenUsed/>
    <w:rsid w:val="00A01567"/>
    <w:pPr>
      <w:spacing w:line="240" w:lineRule="auto"/>
    </w:pPr>
    <w:rPr>
      <w:sz w:val="20"/>
      <w:szCs w:val="20"/>
    </w:rPr>
  </w:style>
  <w:style w:type="character" w:customStyle="1" w:styleId="CommentTextChar">
    <w:name w:val="Comment Text Char"/>
    <w:basedOn w:val="DefaultParagraphFont"/>
    <w:link w:val="CommentText"/>
    <w:uiPriority w:val="99"/>
    <w:semiHidden/>
    <w:rsid w:val="00A01567"/>
    <w:rPr>
      <w:sz w:val="20"/>
      <w:szCs w:val="20"/>
    </w:rPr>
  </w:style>
  <w:style w:type="paragraph" w:styleId="CommentSubject">
    <w:name w:val="annotation subject"/>
    <w:basedOn w:val="CommentText"/>
    <w:next w:val="CommentText"/>
    <w:link w:val="CommentSubjectChar"/>
    <w:uiPriority w:val="99"/>
    <w:semiHidden/>
    <w:unhideWhenUsed/>
    <w:rsid w:val="00A01567"/>
    <w:rPr>
      <w:b/>
      <w:bCs/>
    </w:rPr>
  </w:style>
  <w:style w:type="character" w:customStyle="1" w:styleId="CommentSubjectChar">
    <w:name w:val="Comment Subject Char"/>
    <w:basedOn w:val="CommentTextChar"/>
    <w:link w:val="CommentSubject"/>
    <w:uiPriority w:val="99"/>
    <w:semiHidden/>
    <w:rsid w:val="00A01567"/>
    <w:rPr>
      <w:b/>
      <w:bCs/>
      <w:sz w:val="20"/>
      <w:szCs w:val="20"/>
    </w:rPr>
  </w:style>
  <w:style w:type="character" w:styleId="Mention">
    <w:name w:val="Mention"/>
    <w:basedOn w:val="DefaultParagraphFont"/>
    <w:uiPriority w:val="99"/>
    <w:unhideWhenUsed/>
    <w:rsid w:val="00A015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053655">
      <w:bodyDiv w:val="1"/>
      <w:marLeft w:val="0"/>
      <w:marRight w:val="0"/>
      <w:marTop w:val="0"/>
      <w:marBottom w:val="0"/>
      <w:divBdr>
        <w:top w:val="none" w:sz="0" w:space="0" w:color="auto"/>
        <w:left w:val="none" w:sz="0" w:space="0" w:color="auto"/>
        <w:bottom w:val="none" w:sz="0" w:space="0" w:color="auto"/>
        <w:right w:val="none" w:sz="0" w:space="0" w:color="auto"/>
      </w:divBdr>
      <w:divsChild>
        <w:div w:id="177697870">
          <w:marLeft w:val="0"/>
          <w:marRight w:val="0"/>
          <w:marTop w:val="0"/>
          <w:marBottom w:val="0"/>
          <w:divBdr>
            <w:top w:val="none" w:sz="0" w:space="0" w:color="auto"/>
            <w:left w:val="none" w:sz="0" w:space="0" w:color="auto"/>
            <w:bottom w:val="none" w:sz="0" w:space="0" w:color="auto"/>
            <w:right w:val="none" w:sz="0" w:space="0" w:color="auto"/>
          </w:divBdr>
        </w:div>
        <w:div w:id="190188445">
          <w:marLeft w:val="0"/>
          <w:marRight w:val="0"/>
          <w:marTop w:val="0"/>
          <w:marBottom w:val="0"/>
          <w:divBdr>
            <w:top w:val="none" w:sz="0" w:space="0" w:color="auto"/>
            <w:left w:val="none" w:sz="0" w:space="0" w:color="auto"/>
            <w:bottom w:val="none" w:sz="0" w:space="0" w:color="auto"/>
            <w:right w:val="none" w:sz="0" w:space="0" w:color="auto"/>
          </w:divBdr>
        </w:div>
        <w:div w:id="191386110">
          <w:marLeft w:val="0"/>
          <w:marRight w:val="0"/>
          <w:marTop w:val="0"/>
          <w:marBottom w:val="0"/>
          <w:divBdr>
            <w:top w:val="none" w:sz="0" w:space="0" w:color="auto"/>
            <w:left w:val="none" w:sz="0" w:space="0" w:color="auto"/>
            <w:bottom w:val="none" w:sz="0" w:space="0" w:color="auto"/>
            <w:right w:val="none" w:sz="0" w:space="0" w:color="auto"/>
          </w:divBdr>
        </w:div>
        <w:div w:id="215552002">
          <w:marLeft w:val="0"/>
          <w:marRight w:val="0"/>
          <w:marTop w:val="0"/>
          <w:marBottom w:val="0"/>
          <w:divBdr>
            <w:top w:val="none" w:sz="0" w:space="0" w:color="auto"/>
            <w:left w:val="none" w:sz="0" w:space="0" w:color="auto"/>
            <w:bottom w:val="none" w:sz="0" w:space="0" w:color="auto"/>
            <w:right w:val="none" w:sz="0" w:space="0" w:color="auto"/>
          </w:divBdr>
        </w:div>
        <w:div w:id="237326566">
          <w:marLeft w:val="0"/>
          <w:marRight w:val="0"/>
          <w:marTop w:val="0"/>
          <w:marBottom w:val="0"/>
          <w:divBdr>
            <w:top w:val="none" w:sz="0" w:space="0" w:color="auto"/>
            <w:left w:val="none" w:sz="0" w:space="0" w:color="auto"/>
            <w:bottom w:val="none" w:sz="0" w:space="0" w:color="auto"/>
            <w:right w:val="none" w:sz="0" w:space="0" w:color="auto"/>
          </w:divBdr>
          <w:divsChild>
            <w:div w:id="526481171">
              <w:marLeft w:val="0"/>
              <w:marRight w:val="0"/>
              <w:marTop w:val="0"/>
              <w:marBottom w:val="0"/>
              <w:divBdr>
                <w:top w:val="none" w:sz="0" w:space="0" w:color="auto"/>
                <w:left w:val="none" w:sz="0" w:space="0" w:color="auto"/>
                <w:bottom w:val="none" w:sz="0" w:space="0" w:color="auto"/>
                <w:right w:val="none" w:sz="0" w:space="0" w:color="auto"/>
              </w:divBdr>
            </w:div>
            <w:div w:id="1221867114">
              <w:marLeft w:val="0"/>
              <w:marRight w:val="0"/>
              <w:marTop w:val="0"/>
              <w:marBottom w:val="0"/>
              <w:divBdr>
                <w:top w:val="none" w:sz="0" w:space="0" w:color="auto"/>
                <w:left w:val="none" w:sz="0" w:space="0" w:color="auto"/>
                <w:bottom w:val="none" w:sz="0" w:space="0" w:color="auto"/>
                <w:right w:val="none" w:sz="0" w:space="0" w:color="auto"/>
              </w:divBdr>
            </w:div>
          </w:divsChild>
        </w:div>
        <w:div w:id="367684221">
          <w:marLeft w:val="0"/>
          <w:marRight w:val="0"/>
          <w:marTop w:val="0"/>
          <w:marBottom w:val="0"/>
          <w:divBdr>
            <w:top w:val="none" w:sz="0" w:space="0" w:color="auto"/>
            <w:left w:val="none" w:sz="0" w:space="0" w:color="auto"/>
            <w:bottom w:val="none" w:sz="0" w:space="0" w:color="auto"/>
            <w:right w:val="none" w:sz="0" w:space="0" w:color="auto"/>
          </w:divBdr>
        </w:div>
        <w:div w:id="370229312">
          <w:marLeft w:val="0"/>
          <w:marRight w:val="0"/>
          <w:marTop w:val="0"/>
          <w:marBottom w:val="0"/>
          <w:divBdr>
            <w:top w:val="none" w:sz="0" w:space="0" w:color="auto"/>
            <w:left w:val="none" w:sz="0" w:space="0" w:color="auto"/>
            <w:bottom w:val="none" w:sz="0" w:space="0" w:color="auto"/>
            <w:right w:val="none" w:sz="0" w:space="0" w:color="auto"/>
          </w:divBdr>
        </w:div>
        <w:div w:id="465392371">
          <w:marLeft w:val="0"/>
          <w:marRight w:val="0"/>
          <w:marTop w:val="0"/>
          <w:marBottom w:val="0"/>
          <w:divBdr>
            <w:top w:val="none" w:sz="0" w:space="0" w:color="auto"/>
            <w:left w:val="none" w:sz="0" w:space="0" w:color="auto"/>
            <w:bottom w:val="none" w:sz="0" w:space="0" w:color="auto"/>
            <w:right w:val="none" w:sz="0" w:space="0" w:color="auto"/>
          </w:divBdr>
          <w:divsChild>
            <w:div w:id="1813718897">
              <w:marLeft w:val="0"/>
              <w:marRight w:val="0"/>
              <w:marTop w:val="30"/>
              <w:marBottom w:val="30"/>
              <w:divBdr>
                <w:top w:val="none" w:sz="0" w:space="0" w:color="auto"/>
                <w:left w:val="none" w:sz="0" w:space="0" w:color="auto"/>
                <w:bottom w:val="none" w:sz="0" w:space="0" w:color="auto"/>
                <w:right w:val="none" w:sz="0" w:space="0" w:color="auto"/>
              </w:divBdr>
              <w:divsChild>
                <w:div w:id="616449118">
                  <w:marLeft w:val="0"/>
                  <w:marRight w:val="0"/>
                  <w:marTop w:val="0"/>
                  <w:marBottom w:val="0"/>
                  <w:divBdr>
                    <w:top w:val="none" w:sz="0" w:space="0" w:color="auto"/>
                    <w:left w:val="none" w:sz="0" w:space="0" w:color="auto"/>
                    <w:bottom w:val="none" w:sz="0" w:space="0" w:color="auto"/>
                    <w:right w:val="none" w:sz="0" w:space="0" w:color="auto"/>
                  </w:divBdr>
                  <w:divsChild>
                    <w:div w:id="328486178">
                      <w:marLeft w:val="0"/>
                      <w:marRight w:val="0"/>
                      <w:marTop w:val="0"/>
                      <w:marBottom w:val="0"/>
                      <w:divBdr>
                        <w:top w:val="none" w:sz="0" w:space="0" w:color="auto"/>
                        <w:left w:val="none" w:sz="0" w:space="0" w:color="auto"/>
                        <w:bottom w:val="none" w:sz="0" w:space="0" w:color="auto"/>
                        <w:right w:val="none" w:sz="0" w:space="0" w:color="auto"/>
                      </w:divBdr>
                    </w:div>
                  </w:divsChild>
                </w:div>
                <w:div w:id="1507747834">
                  <w:marLeft w:val="0"/>
                  <w:marRight w:val="0"/>
                  <w:marTop w:val="0"/>
                  <w:marBottom w:val="0"/>
                  <w:divBdr>
                    <w:top w:val="none" w:sz="0" w:space="0" w:color="auto"/>
                    <w:left w:val="none" w:sz="0" w:space="0" w:color="auto"/>
                    <w:bottom w:val="none" w:sz="0" w:space="0" w:color="auto"/>
                    <w:right w:val="none" w:sz="0" w:space="0" w:color="auto"/>
                  </w:divBdr>
                  <w:divsChild>
                    <w:div w:id="115998993">
                      <w:marLeft w:val="0"/>
                      <w:marRight w:val="0"/>
                      <w:marTop w:val="0"/>
                      <w:marBottom w:val="0"/>
                      <w:divBdr>
                        <w:top w:val="none" w:sz="0" w:space="0" w:color="auto"/>
                        <w:left w:val="none" w:sz="0" w:space="0" w:color="auto"/>
                        <w:bottom w:val="none" w:sz="0" w:space="0" w:color="auto"/>
                        <w:right w:val="none" w:sz="0" w:space="0" w:color="auto"/>
                      </w:divBdr>
                    </w:div>
                    <w:div w:id="1857113529">
                      <w:marLeft w:val="0"/>
                      <w:marRight w:val="0"/>
                      <w:marTop w:val="0"/>
                      <w:marBottom w:val="0"/>
                      <w:divBdr>
                        <w:top w:val="none" w:sz="0" w:space="0" w:color="auto"/>
                        <w:left w:val="none" w:sz="0" w:space="0" w:color="auto"/>
                        <w:bottom w:val="none" w:sz="0" w:space="0" w:color="auto"/>
                        <w:right w:val="none" w:sz="0" w:space="0" w:color="auto"/>
                      </w:divBdr>
                    </w:div>
                    <w:div w:id="2030330263">
                      <w:marLeft w:val="0"/>
                      <w:marRight w:val="0"/>
                      <w:marTop w:val="0"/>
                      <w:marBottom w:val="0"/>
                      <w:divBdr>
                        <w:top w:val="none" w:sz="0" w:space="0" w:color="auto"/>
                        <w:left w:val="none" w:sz="0" w:space="0" w:color="auto"/>
                        <w:bottom w:val="none" w:sz="0" w:space="0" w:color="auto"/>
                        <w:right w:val="none" w:sz="0" w:space="0" w:color="auto"/>
                      </w:divBdr>
                    </w:div>
                  </w:divsChild>
                </w:div>
                <w:div w:id="2065106338">
                  <w:marLeft w:val="0"/>
                  <w:marRight w:val="0"/>
                  <w:marTop w:val="0"/>
                  <w:marBottom w:val="0"/>
                  <w:divBdr>
                    <w:top w:val="none" w:sz="0" w:space="0" w:color="auto"/>
                    <w:left w:val="none" w:sz="0" w:space="0" w:color="auto"/>
                    <w:bottom w:val="none" w:sz="0" w:space="0" w:color="auto"/>
                    <w:right w:val="none" w:sz="0" w:space="0" w:color="auto"/>
                  </w:divBdr>
                  <w:divsChild>
                    <w:div w:id="712071791">
                      <w:marLeft w:val="0"/>
                      <w:marRight w:val="0"/>
                      <w:marTop w:val="0"/>
                      <w:marBottom w:val="0"/>
                      <w:divBdr>
                        <w:top w:val="none" w:sz="0" w:space="0" w:color="auto"/>
                        <w:left w:val="none" w:sz="0" w:space="0" w:color="auto"/>
                        <w:bottom w:val="none" w:sz="0" w:space="0" w:color="auto"/>
                        <w:right w:val="none" w:sz="0" w:space="0" w:color="auto"/>
                      </w:divBdr>
                    </w:div>
                    <w:div w:id="1393967147">
                      <w:marLeft w:val="0"/>
                      <w:marRight w:val="0"/>
                      <w:marTop w:val="0"/>
                      <w:marBottom w:val="0"/>
                      <w:divBdr>
                        <w:top w:val="none" w:sz="0" w:space="0" w:color="auto"/>
                        <w:left w:val="none" w:sz="0" w:space="0" w:color="auto"/>
                        <w:bottom w:val="none" w:sz="0" w:space="0" w:color="auto"/>
                        <w:right w:val="none" w:sz="0" w:space="0" w:color="auto"/>
                      </w:divBdr>
                    </w:div>
                    <w:div w:id="1428386687">
                      <w:marLeft w:val="0"/>
                      <w:marRight w:val="0"/>
                      <w:marTop w:val="0"/>
                      <w:marBottom w:val="0"/>
                      <w:divBdr>
                        <w:top w:val="none" w:sz="0" w:space="0" w:color="auto"/>
                        <w:left w:val="none" w:sz="0" w:space="0" w:color="auto"/>
                        <w:bottom w:val="none" w:sz="0" w:space="0" w:color="auto"/>
                        <w:right w:val="none" w:sz="0" w:space="0" w:color="auto"/>
                      </w:divBdr>
                    </w:div>
                    <w:div w:id="1601832157">
                      <w:marLeft w:val="0"/>
                      <w:marRight w:val="0"/>
                      <w:marTop w:val="0"/>
                      <w:marBottom w:val="0"/>
                      <w:divBdr>
                        <w:top w:val="none" w:sz="0" w:space="0" w:color="auto"/>
                        <w:left w:val="none" w:sz="0" w:space="0" w:color="auto"/>
                        <w:bottom w:val="none" w:sz="0" w:space="0" w:color="auto"/>
                        <w:right w:val="none" w:sz="0" w:space="0" w:color="auto"/>
                      </w:divBdr>
                    </w:div>
                    <w:div w:id="194271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05455">
          <w:marLeft w:val="0"/>
          <w:marRight w:val="0"/>
          <w:marTop w:val="0"/>
          <w:marBottom w:val="0"/>
          <w:divBdr>
            <w:top w:val="none" w:sz="0" w:space="0" w:color="auto"/>
            <w:left w:val="none" w:sz="0" w:space="0" w:color="auto"/>
            <w:bottom w:val="none" w:sz="0" w:space="0" w:color="auto"/>
            <w:right w:val="none" w:sz="0" w:space="0" w:color="auto"/>
          </w:divBdr>
        </w:div>
        <w:div w:id="985479048">
          <w:marLeft w:val="0"/>
          <w:marRight w:val="0"/>
          <w:marTop w:val="0"/>
          <w:marBottom w:val="0"/>
          <w:divBdr>
            <w:top w:val="none" w:sz="0" w:space="0" w:color="auto"/>
            <w:left w:val="none" w:sz="0" w:space="0" w:color="auto"/>
            <w:bottom w:val="none" w:sz="0" w:space="0" w:color="auto"/>
            <w:right w:val="none" w:sz="0" w:space="0" w:color="auto"/>
          </w:divBdr>
        </w:div>
        <w:div w:id="1119254938">
          <w:marLeft w:val="0"/>
          <w:marRight w:val="0"/>
          <w:marTop w:val="0"/>
          <w:marBottom w:val="0"/>
          <w:divBdr>
            <w:top w:val="none" w:sz="0" w:space="0" w:color="auto"/>
            <w:left w:val="none" w:sz="0" w:space="0" w:color="auto"/>
            <w:bottom w:val="none" w:sz="0" w:space="0" w:color="auto"/>
            <w:right w:val="none" w:sz="0" w:space="0" w:color="auto"/>
          </w:divBdr>
        </w:div>
        <w:div w:id="1305813196">
          <w:marLeft w:val="0"/>
          <w:marRight w:val="0"/>
          <w:marTop w:val="0"/>
          <w:marBottom w:val="0"/>
          <w:divBdr>
            <w:top w:val="none" w:sz="0" w:space="0" w:color="auto"/>
            <w:left w:val="none" w:sz="0" w:space="0" w:color="auto"/>
            <w:bottom w:val="none" w:sz="0" w:space="0" w:color="auto"/>
            <w:right w:val="none" w:sz="0" w:space="0" w:color="auto"/>
          </w:divBdr>
          <w:divsChild>
            <w:div w:id="129710523">
              <w:marLeft w:val="0"/>
              <w:marRight w:val="0"/>
              <w:marTop w:val="0"/>
              <w:marBottom w:val="0"/>
              <w:divBdr>
                <w:top w:val="none" w:sz="0" w:space="0" w:color="auto"/>
                <w:left w:val="none" w:sz="0" w:space="0" w:color="auto"/>
                <w:bottom w:val="none" w:sz="0" w:space="0" w:color="auto"/>
                <w:right w:val="none" w:sz="0" w:space="0" w:color="auto"/>
              </w:divBdr>
            </w:div>
            <w:div w:id="152835332">
              <w:marLeft w:val="0"/>
              <w:marRight w:val="0"/>
              <w:marTop w:val="0"/>
              <w:marBottom w:val="0"/>
              <w:divBdr>
                <w:top w:val="none" w:sz="0" w:space="0" w:color="auto"/>
                <w:left w:val="none" w:sz="0" w:space="0" w:color="auto"/>
                <w:bottom w:val="none" w:sz="0" w:space="0" w:color="auto"/>
                <w:right w:val="none" w:sz="0" w:space="0" w:color="auto"/>
              </w:divBdr>
            </w:div>
            <w:div w:id="465126403">
              <w:marLeft w:val="0"/>
              <w:marRight w:val="0"/>
              <w:marTop w:val="0"/>
              <w:marBottom w:val="0"/>
              <w:divBdr>
                <w:top w:val="none" w:sz="0" w:space="0" w:color="auto"/>
                <w:left w:val="none" w:sz="0" w:space="0" w:color="auto"/>
                <w:bottom w:val="none" w:sz="0" w:space="0" w:color="auto"/>
                <w:right w:val="none" w:sz="0" w:space="0" w:color="auto"/>
              </w:divBdr>
            </w:div>
            <w:div w:id="470514268">
              <w:marLeft w:val="0"/>
              <w:marRight w:val="0"/>
              <w:marTop w:val="0"/>
              <w:marBottom w:val="0"/>
              <w:divBdr>
                <w:top w:val="none" w:sz="0" w:space="0" w:color="auto"/>
                <w:left w:val="none" w:sz="0" w:space="0" w:color="auto"/>
                <w:bottom w:val="none" w:sz="0" w:space="0" w:color="auto"/>
                <w:right w:val="none" w:sz="0" w:space="0" w:color="auto"/>
              </w:divBdr>
            </w:div>
            <w:div w:id="1469087655">
              <w:marLeft w:val="0"/>
              <w:marRight w:val="0"/>
              <w:marTop w:val="0"/>
              <w:marBottom w:val="0"/>
              <w:divBdr>
                <w:top w:val="none" w:sz="0" w:space="0" w:color="auto"/>
                <w:left w:val="none" w:sz="0" w:space="0" w:color="auto"/>
                <w:bottom w:val="none" w:sz="0" w:space="0" w:color="auto"/>
                <w:right w:val="none" w:sz="0" w:space="0" w:color="auto"/>
              </w:divBdr>
            </w:div>
          </w:divsChild>
        </w:div>
        <w:div w:id="1344164228">
          <w:marLeft w:val="0"/>
          <w:marRight w:val="0"/>
          <w:marTop w:val="0"/>
          <w:marBottom w:val="0"/>
          <w:divBdr>
            <w:top w:val="none" w:sz="0" w:space="0" w:color="auto"/>
            <w:left w:val="none" w:sz="0" w:space="0" w:color="auto"/>
            <w:bottom w:val="none" w:sz="0" w:space="0" w:color="auto"/>
            <w:right w:val="none" w:sz="0" w:space="0" w:color="auto"/>
          </w:divBdr>
        </w:div>
        <w:div w:id="1355375498">
          <w:marLeft w:val="0"/>
          <w:marRight w:val="0"/>
          <w:marTop w:val="0"/>
          <w:marBottom w:val="0"/>
          <w:divBdr>
            <w:top w:val="none" w:sz="0" w:space="0" w:color="auto"/>
            <w:left w:val="none" w:sz="0" w:space="0" w:color="auto"/>
            <w:bottom w:val="none" w:sz="0" w:space="0" w:color="auto"/>
            <w:right w:val="none" w:sz="0" w:space="0" w:color="auto"/>
          </w:divBdr>
        </w:div>
        <w:div w:id="1390424397">
          <w:marLeft w:val="0"/>
          <w:marRight w:val="0"/>
          <w:marTop w:val="0"/>
          <w:marBottom w:val="0"/>
          <w:divBdr>
            <w:top w:val="none" w:sz="0" w:space="0" w:color="auto"/>
            <w:left w:val="none" w:sz="0" w:space="0" w:color="auto"/>
            <w:bottom w:val="none" w:sz="0" w:space="0" w:color="auto"/>
            <w:right w:val="none" w:sz="0" w:space="0" w:color="auto"/>
          </w:divBdr>
          <w:divsChild>
            <w:div w:id="720321936">
              <w:marLeft w:val="0"/>
              <w:marRight w:val="0"/>
              <w:marTop w:val="0"/>
              <w:marBottom w:val="0"/>
              <w:divBdr>
                <w:top w:val="none" w:sz="0" w:space="0" w:color="auto"/>
                <w:left w:val="none" w:sz="0" w:space="0" w:color="auto"/>
                <w:bottom w:val="none" w:sz="0" w:space="0" w:color="auto"/>
                <w:right w:val="none" w:sz="0" w:space="0" w:color="auto"/>
              </w:divBdr>
            </w:div>
            <w:div w:id="1676765423">
              <w:marLeft w:val="0"/>
              <w:marRight w:val="0"/>
              <w:marTop w:val="0"/>
              <w:marBottom w:val="0"/>
              <w:divBdr>
                <w:top w:val="none" w:sz="0" w:space="0" w:color="auto"/>
                <w:left w:val="none" w:sz="0" w:space="0" w:color="auto"/>
                <w:bottom w:val="none" w:sz="0" w:space="0" w:color="auto"/>
                <w:right w:val="none" w:sz="0" w:space="0" w:color="auto"/>
              </w:divBdr>
            </w:div>
          </w:divsChild>
        </w:div>
        <w:div w:id="1501695964">
          <w:marLeft w:val="0"/>
          <w:marRight w:val="0"/>
          <w:marTop w:val="0"/>
          <w:marBottom w:val="0"/>
          <w:divBdr>
            <w:top w:val="none" w:sz="0" w:space="0" w:color="auto"/>
            <w:left w:val="none" w:sz="0" w:space="0" w:color="auto"/>
            <w:bottom w:val="none" w:sz="0" w:space="0" w:color="auto"/>
            <w:right w:val="none" w:sz="0" w:space="0" w:color="auto"/>
          </w:divBdr>
        </w:div>
        <w:div w:id="1630743156">
          <w:marLeft w:val="0"/>
          <w:marRight w:val="0"/>
          <w:marTop w:val="0"/>
          <w:marBottom w:val="0"/>
          <w:divBdr>
            <w:top w:val="none" w:sz="0" w:space="0" w:color="auto"/>
            <w:left w:val="none" w:sz="0" w:space="0" w:color="auto"/>
            <w:bottom w:val="none" w:sz="0" w:space="0" w:color="auto"/>
            <w:right w:val="none" w:sz="0" w:space="0" w:color="auto"/>
          </w:divBdr>
        </w:div>
        <w:div w:id="1652561101">
          <w:marLeft w:val="0"/>
          <w:marRight w:val="0"/>
          <w:marTop w:val="0"/>
          <w:marBottom w:val="0"/>
          <w:divBdr>
            <w:top w:val="none" w:sz="0" w:space="0" w:color="auto"/>
            <w:left w:val="none" w:sz="0" w:space="0" w:color="auto"/>
            <w:bottom w:val="none" w:sz="0" w:space="0" w:color="auto"/>
            <w:right w:val="none" w:sz="0" w:space="0" w:color="auto"/>
          </w:divBdr>
        </w:div>
        <w:div w:id="1720275128">
          <w:marLeft w:val="0"/>
          <w:marRight w:val="0"/>
          <w:marTop w:val="0"/>
          <w:marBottom w:val="0"/>
          <w:divBdr>
            <w:top w:val="none" w:sz="0" w:space="0" w:color="auto"/>
            <w:left w:val="none" w:sz="0" w:space="0" w:color="auto"/>
            <w:bottom w:val="none" w:sz="0" w:space="0" w:color="auto"/>
            <w:right w:val="none" w:sz="0" w:space="0" w:color="auto"/>
          </w:divBdr>
        </w:div>
        <w:div w:id="1916742956">
          <w:marLeft w:val="0"/>
          <w:marRight w:val="0"/>
          <w:marTop w:val="0"/>
          <w:marBottom w:val="0"/>
          <w:divBdr>
            <w:top w:val="none" w:sz="0" w:space="0" w:color="auto"/>
            <w:left w:val="none" w:sz="0" w:space="0" w:color="auto"/>
            <w:bottom w:val="none" w:sz="0" w:space="0" w:color="auto"/>
            <w:right w:val="none" w:sz="0" w:space="0" w:color="auto"/>
          </w:divBdr>
          <w:divsChild>
            <w:div w:id="1076710909">
              <w:marLeft w:val="0"/>
              <w:marRight w:val="0"/>
              <w:marTop w:val="30"/>
              <w:marBottom w:val="30"/>
              <w:divBdr>
                <w:top w:val="none" w:sz="0" w:space="0" w:color="auto"/>
                <w:left w:val="none" w:sz="0" w:space="0" w:color="auto"/>
                <w:bottom w:val="none" w:sz="0" w:space="0" w:color="auto"/>
                <w:right w:val="none" w:sz="0" w:space="0" w:color="auto"/>
              </w:divBdr>
              <w:divsChild>
                <w:div w:id="435103151">
                  <w:marLeft w:val="0"/>
                  <w:marRight w:val="0"/>
                  <w:marTop w:val="0"/>
                  <w:marBottom w:val="0"/>
                  <w:divBdr>
                    <w:top w:val="none" w:sz="0" w:space="0" w:color="auto"/>
                    <w:left w:val="none" w:sz="0" w:space="0" w:color="auto"/>
                    <w:bottom w:val="none" w:sz="0" w:space="0" w:color="auto"/>
                    <w:right w:val="none" w:sz="0" w:space="0" w:color="auto"/>
                  </w:divBdr>
                  <w:divsChild>
                    <w:div w:id="1635216929">
                      <w:marLeft w:val="0"/>
                      <w:marRight w:val="0"/>
                      <w:marTop w:val="0"/>
                      <w:marBottom w:val="0"/>
                      <w:divBdr>
                        <w:top w:val="none" w:sz="0" w:space="0" w:color="auto"/>
                        <w:left w:val="none" w:sz="0" w:space="0" w:color="auto"/>
                        <w:bottom w:val="none" w:sz="0" w:space="0" w:color="auto"/>
                        <w:right w:val="none" w:sz="0" w:space="0" w:color="auto"/>
                      </w:divBdr>
                    </w:div>
                  </w:divsChild>
                </w:div>
                <w:div w:id="614823857">
                  <w:marLeft w:val="0"/>
                  <w:marRight w:val="0"/>
                  <w:marTop w:val="0"/>
                  <w:marBottom w:val="0"/>
                  <w:divBdr>
                    <w:top w:val="none" w:sz="0" w:space="0" w:color="auto"/>
                    <w:left w:val="none" w:sz="0" w:space="0" w:color="auto"/>
                    <w:bottom w:val="none" w:sz="0" w:space="0" w:color="auto"/>
                    <w:right w:val="none" w:sz="0" w:space="0" w:color="auto"/>
                  </w:divBdr>
                  <w:divsChild>
                    <w:div w:id="1820069376">
                      <w:marLeft w:val="0"/>
                      <w:marRight w:val="0"/>
                      <w:marTop w:val="0"/>
                      <w:marBottom w:val="0"/>
                      <w:divBdr>
                        <w:top w:val="none" w:sz="0" w:space="0" w:color="auto"/>
                        <w:left w:val="none" w:sz="0" w:space="0" w:color="auto"/>
                        <w:bottom w:val="none" w:sz="0" w:space="0" w:color="auto"/>
                        <w:right w:val="none" w:sz="0" w:space="0" w:color="auto"/>
                      </w:divBdr>
                    </w:div>
                  </w:divsChild>
                </w:div>
                <w:div w:id="627201823">
                  <w:marLeft w:val="0"/>
                  <w:marRight w:val="0"/>
                  <w:marTop w:val="0"/>
                  <w:marBottom w:val="0"/>
                  <w:divBdr>
                    <w:top w:val="none" w:sz="0" w:space="0" w:color="auto"/>
                    <w:left w:val="none" w:sz="0" w:space="0" w:color="auto"/>
                    <w:bottom w:val="none" w:sz="0" w:space="0" w:color="auto"/>
                    <w:right w:val="none" w:sz="0" w:space="0" w:color="auto"/>
                  </w:divBdr>
                  <w:divsChild>
                    <w:div w:id="38600735">
                      <w:marLeft w:val="0"/>
                      <w:marRight w:val="0"/>
                      <w:marTop w:val="0"/>
                      <w:marBottom w:val="0"/>
                      <w:divBdr>
                        <w:top w:val="none" w:sz="0" w:space="0" w:color="auto"/>
                        <w:left w:val="none" w:sz="0" w:space="0" w:color="auto"/>
                        <w:bottom w:val="none" w:sz="0" w:space="0" w:color="auto"/>
                        <w:right w:val="none" w:sz="0" w:space="0" w:color="auto"/>
                      </w:divBdr>
                    </w:div>
                  </w:divsChild>
                </w:div>
                <w:div w:id="663047190">
                  <w:marLeft w:val="0"/>
                  <w:marRight w:val="0"/>
                  <w:marTop w:val="0"/>
                  <w:marBottom w:val="0"/>
                  <w:divBdr>
                    <w:top w:val="none" w:sz="0" w:space="0" w:color="auto"/>
                    <w:left w:val="none" w:sz="0" w:space="0" w:color="auto"/>
                    <w:bottom w:val="none" w:sz="0" w:space="0" w:color="auto"/>
                    <w:right w:val="none" w:sz="0" w:space="0" w:color="auto"/>
                  </w:divBdr>
                  <w:divsChild>
                    <w:div w:id="1810125420">
                      <w:marLeft w:val="0"/>
                      <w:marRight w:val="0"/>
                      <w:marTop w:val="0"/>
                      <w:marBottom w:val="0"/>
                      <w:divBdr>
                        <w:top w:val="none" w:sz="0" w:space="0" w:color="auto"/>
                        <w:left w:val="none" w:sz="0" w:space="0" w:color="auto"/>
                        <w:bottom w:val="none" w:sz="0" w:space="0" w:color="auto"/>
                        <w:right w:val="none" w:sz="0" w:space="0" w:color="auto"/>
                      </w:divBdr>
                    </w:div>
                  </w:divsChild>
                </w:div>
                <w:div w:id="871385297">
                  <w:marLeft w:val="0"/>
                  <w:marRight w:val="0"/>
                  <w:marTop w:val="0"/>
                  <w:marBottom w:val="0"/>
                  <w:divBdr>
                    <w:top w:val="none" w:sz="0" w:space="0" w:color="auto"/>
                    <w:left w:val="none" w:sz="0" w:space="0" w:color="auto"/>
                    <w:bottom w:val="none" w:sz="0" w:space="0" w:color="auto"/>
                    <w:right w:val="none" w:sz="0" w:space="0" w:color="auto"/>
                  </w:divBdr>
                  <w:divsChild>
                    <w:div w:id="941887087">
                      <w:marLeft w:val="0"/>
                      <w:marRight w:val="0"/>
                      <w:marTop w:val="0"/>
                      <w:marBottom w:val="0"/>
                      <w:divBdr>
                        <w:top w:val="none" w:sz="0" w:space="0" w:color="auto"/>
                        <w:left w:val="none" w:sz="0" w:space="0" w:color="auto"/>
                        <w:bottom w:val="none" w:sz="0" w:space="0" w:color="auto"/>
                        <w:right w:val="none" w:sz="0" w:space="0" w:color="auto"/>
                      </w:divBdr>
                    </w:div>
                  </w:divsChild>
                </w:div>
                <w:div w:id="1092318697">
                  <w:marLeft w:val="0"/>
                  <w:marRight w:val="0"/>
                  <w:marTop w:val="0"/>
                  <w:marBottom w:val="0"/>
                  <w:divBdr>
                    <w:top w:val="none" w:sz="0" w:space="0" w:color="auto"/>
                    <w:left w:val="none" w:sz="0" w:space="0" w:color="auto"/>
                    <w:bottom w:val="none" w:sz="0" w:space="0" w:color="auto"/>
                    <w:right w:val="none" w:sz="0" w:space="0" w:color="auto"/>
                  </w:divBdr>
                  <w:divsChild>
                    <w:div w:id="2007972186">
                      <w:marLeft w:val="0"/>
                      <w:marRight w:val="0"/>
                      <w:marTop w:val="0"/>
                      <w:marBottom w:val="0"/>
                      <w:divBdr>
                        <w:top w:val="none" w:sz="0" w:space="0" w:color="auto"/>
                        <w:left w:val="none" w:sz="0" w:space="0" w:color="auto"/>
                        <w:bottom w:val="none" w:sz="0" w:space="0" w:color="auto"/>
                        <w:right w:val="none" w:sz="0" w:space="0" w:color="auto"/>
                      </w:divBdr>
                    </w:div>
                  </w:divsChild>
                </w:div>
                <w:div w:id="1157066399">
                  <w:marLeft w:val="0"/>
                  <w:marRight w:val="0"/>
                  <w:marTop w:val="0"/>
                  <w:marBottom w:val="0"/>
                  <w:divBdr>
                    <w:top w:val="none" w:sz="0" w:space="0" w:color="auto"/>
                    <w:left w:val="none" w:sz="0" w:space="0" w:color="auto"/>
                    <w:bottom w:val="none" w:sz="0" w:space="0" w:color="auto"/>
                    <w:right w:val="none" w:sz="0" w:space="0" w:color="auto"/>
                  </w:divBdr>
                  <w:divsChild>
                    <w:div w:id="1566796559">
                      <w:marLeft w:val="0"/>
                      <w:marRight w:val="0"/>
                      <w:marTop w:val="0"/>
                      <w:marBottom w:val="0"/>
                      <w:divBdr>
                        <w:top w:val="none" w:sz="0" w:space="0" w:color="auto"/>
                        <w:left w:val="none" w:sz="0" w:space="0" w:color="auto"/>
                        <w:bottom w:val="none" w:sz="0" w:space="0" w:color="auto"/>
                        <w:right w:val="none" w:sz="0" w:space="0" w:color="auto"/>
                      </w:divBdr>
                    </w:div>
                  </w:divsChild>
                </w:div>
                <w:div w:id="1253708790">
                  <w:marLeft w:val="0"/>
                  <w:marRight w:val="0"/>
                  <w:marTop w:val="0"/>
                  <w:marBottom w:val="0"/>
                  <w:divBdr>
                    <w:top w:val="none" w:sz="0" w:space="0" w:color="auto"/>
                    <w:left w:val="none" w:sz="0" w:space="0" w:color="auto"/>
                    <w:bottom w:val="none" w:sz="0" w:space="0" w:color="auto"/>
                    <w:right w:val="none" w:sz="0" w:space="0" w:color="auto"/>
                  </w:divBdr>
                  <w:divsChild>
                    <w:div w:id="369457926">
                      <w:marLeft w:val="0"/>
                      <w:marRight w:val="0"/>
                      <w:marTop w:val="0"/>
                      <w:marBottom w:val="0"/>
                      <w:divBdr>
                        <w:top w:val="none" w:sz="0" w:space="0" w:color="auto"/>
                        <w:left w:val="none" w:sz="0" w:space="0" w:color="auto"/>
                        <w:bottom w:val="none" w:sz="0" w:space="0" w:color="auto"/>
                        <w:right w:val="none" w:sz="0" w:space="0" w:color="auto"/>
                      </w:divBdr>
                    </w:div>
                  </w:divsChild>
                </w:div>
                <w:div w:id="1273973034">
                  <w:marLeft w:val="0"/>
                  <w:marRight w:val="0"/>
                  <w:marTop w:val="0"/>
                  <w:marBottom w:val="0"/>
                  <w:divBdr>
                    <w:top w:val="none" w:sz="0" w:space="0" w:color="auto"/>
                    <w:left w:val="none" w:sz="0" w:space="0" w:color="auto"/>
                    <w:bottom w:val="none" w:sz="0" w:space="0" w:color="auto"/>
                    <w:right w:val="none" w:sz="0" w:space="0" w:color="auto"/>
                  </w:divBdr>
                  <w:divsChild>
                    <w:div w:id="1759476910">
                      <w:marLeft w:val="0"/>
                      <w:marRight w:val="0"/>
                      <w:marTop w:val="0"/>
                      <w:marBottom w:val="0"/>
                      <w:divBdr>
                        <w:top w:val="none" w:sz="0" w:space="0" w:color="auto"/>
                        <w:left w:val="none" w:sz="0" w:space="0" w:color="auto"/>
                        <w:bottom w:val="none" w:sz="0" w:space="0" w:color="auto"/>
                        <w:right w:val="none" w:sz="0" w:space="0" w:color="auto"/>
                      </w:divBdr>
                    </w:div>
                  </w:divsChild>
                </w:div>
                <w:div w:id="1557354371">
                  <w:marLeft w:val="0"/>
                  <w:marRight w:val="0"/>
                  <w:marTop w:val="0"/>
                  <w:marBottom w:val="0"/>
                  <w:divBdr>
                    <w:top w:val="none" w:sz="0" w:space="0" w:color="auto"/>
                    <w:left w:val="none" w:sz="0" w:space="0" w:color="auto"/>
                    <w:bottom w:val="none" w:sz="0" w:space="0" w:color="auto"/>
                    <w:right w:val="none" w:sz="0" w:space="0" w:color="auto"/>
                  </w:divBdr>
                  <w:divsChild>
                    <w:div w:id="2104573211">
                      <w:marLeft w:val="0"/>
                      <w:marRight w:val="0"/>
                      <w:marTop w:val="0"/>
                      <w:marBottom w:val="0"/>
                      <w:divBdr>
                        <w:top w:val="none" w:sz="0" w:space="0" w:color="auto"/>
                        <w:left w:val="none" w:sz="0" w:space="0" w:color="auto"/>
                        <w:bottom w:val="none" w:sz="0" w:space="0" w:color="auto"/>
                        <w:right w:val="none" w:sz="0" w:space="0" w:color="auto"/>
                      </w:divBdr>
                    </w:div>
                  </w:divsChild>
                </w:div>
                <w:div w:id="1608584853">
                  <w:marLeft w:val="0"/>
                  <w:marRight w:val="0"/>
                  <w:marTop w:val="0"/>
                  <w:marBottom w:val="0"/>
                  <w:divBdr>
                    <w:top w:val="none" w:sz="0" w:space="0" w:color="auto"/>
                    <w:left w:val="none" w:sz="0" w:space="0" w:color="auto"/>
                    <w:bottom w:val="none" w:sz="0" w:space="0" w:color="auto"/>
                    <w:right w:val="none" w:sz="0" w:space="0" w:color="auto"/>
                  </w:divBdr>
                  <w:divsChild>
                    <w:div w:id="219097467">
                      <w:marLeft w:val="0"/>
                      <w:marRight w:val="0"/>
                      <w:marTop w:val="0"/>
                      <w:marBottom w:val="0"/>
                      <w:divBdr>
                        <w:top w:val="none" w:sz="0" w:space="0" w:color="auto"/>
                        <w:left w:val="none" w:sz="0" w:space="0" w:color="auto"/>
                        <w:bottom w:val="none" w:sz="0" w:space="0" w:color="auto"/>
                        <w:right w:val="none" w:sz="0" w:space="0" w:color="auto"/>
                      </w:divBdr>
                    </w:div>
                  </w:divsChild>
                </w:div>
                <w:div w:id="1663698021">
                  <w:marLeft w:val="0"/>
                  <w:marRight w:val="0"/>
                  <w:marTop w:val="0"/>
                  <w:marBottom w:val="0"/>
                  <w:divBdr>
                    <w:top w:val="none" w:sz="0" w:space="0" w:color="auto"/>
                    <w:left w:val="none" w:sz="0" w:space="0" w:color="auto"/>
                    <w:bottom w:val="none" w:sz="0" w:space="0" w:color="auto"/>
                    <w:right w:val="none" w:sz="0" w:space="0" w:color="auto"/>
                  </w:divBdr>
                  <w:divsChild>
                    <w:div w:id="292447875">
                      <w:marLeft w:val="0"/>
                      <w:marRight w:val="0"/>
                      <w:marTop w:val="0"/>
                      <w:marBottom w:val="0"/>
                      <w:divBdr>
                        <w:top w:val="none" w:sz="0" w:space="0" w:color="auto"/>
                        <w:left w:val="none" w:sz="0" w:space="0" w:color="auto"/>
                        <w:bottom w:val="none" w:sz="0" w:space="0" w:color="auto"/>
                        <w:right w:val="none" w:sz="0" w:space="0" w:color="auto"/>
                      </w:divBdr>
                    </w:div>
                  </w:divsChild>
                </w:div>
                <w:div w:id="1704942312">
                  <w:marLeft w:val="0"/>
                  <w:marRight w:val="0"/>
                  <w:marTop w:val="0"/>
                  <w:marBottom w:val="0"/>
                  <w:divBdr>
                    <w:top w:val="none" w:sz="0" w:space="0" w:color="auto"/>
                    <w:left w:val="none" w:sz="0" w:space="0" w:color="auto"/>
                    <w:bottom w:val="none" w:sz="0" w:space="0" w:color="auto"/>
                    <w:right w:val="none" w:sz="0" w:space="0" w:color="auto"/>
                  </w:divBdr>
                  <w:divsChild>
                    <w:div w:id="1615281883">
                      <w:marLeft w:val="0"/>
                      <w:marRight w:val="0"/>
                      <w:marTop w:val="0"/>
                      <w:marBottom w:val="0"/>
                      <w:divBdr>
                        <w:top w:val="none" w:sz="0" w:space="0" w:color="auto"/>
                        <w:left w:val="none" w:sz="0" w:space="0" w:color="auto"/>
                        <w:bottom w:val="none" w:sz="0" w:space="0" w:color="auto"/>
                        <w:right w:val="none" w:sz="0" w:space="0" w:color="auto"/>
                      </w:divBdr>
                    </w:div>
                  </w:divsChild>
                </w:div>
                <w:div w:id="1714305545">
                  <w:marLeft w:val="0"/>
                  <w:marRight w:val="0"/>
                  <w:marTop w:val="0"/>
                  <w:marBottom w:val="0"/>
                  <w:divBdr>
                    <w:top w:val="none" w:sz="0" w:space="0" w:color="auto"/>
                    <w:left w:val="none" w:sz="0" w:space="0" w:color="auto"/>
                    <w:bottom w:val="none" w:sz="0" w:space="0" w:color="auto"/>
                    <w:right w:val="none" w:sz="0" w:space="0" w:color="auto"/>
                  </w:divBdr>
                  <w:divsChild>
                    <w:div w:id="307326359">
                      <w:marLeft w:val="0"/>
                      <w:marRight w:val="0"/>
                      <w:marTop w:val="0"/>
                      <w:marBottom w:val="0"/>
                      <w:divBdr>
                        <w:top w:val="none" w:sz="0" w:space="0" w:color="auto"/>
                        <w:left w:val="none" w:sz="0" w:space="0" w:color="auto"/>
                        <w:bottom w:val="none" w:sz="0" w:space="0" w:color="auto"/>
                        <w:right w:val="none" w:sz="0" w:space="0" w:color="auto"/>
                      </w:divBdr>
                    </w:div>
                  </w:divsChild>
                </w:div>
                <w:div w:id="1868056967">
                  <w:marLeft w:val="0"/>
                  <w:marRight w:val="0"/>
                  <w:marTop w:val="0"/>
                  <w:marBottom w:val="0"/>
                  <w:divBdr>
                    <w:top w:val="none" w:sz="0" w:space="0" w:color="auto"/>
                    <w:left w:val="none" w:sz="0" w:space="0" w:color="auto"/>
                    <w:bottom w:val="none" w:sz="0" w:space="0" w:color="auto"/>
                    <w:right w:val="none" w:sz="0" w:space="0" w:color="auto"/>
                  </w:divBdr>
                  <w:divsChild>
                    <w:div w:id="2135128192">
                      <w:marLeft w:val="0"/>
                      <w:marRight w:val="0"/>
                      <w:marTop w:val="0"/>
                      <w:marBottom w:val="0"/>
                      <w:divBdr>
                        <w:top w:val="none" w:sz="0" w:space="0" w:color="auto"/>
                        <w:left w:val="none" w:sz="0" w:space="0" w:color="auto"/>
                        <w:bottom w:val="none" w:sz="0" w:space="0" w:color="auto"/>
                        <w:right w:val="none" w:sz="0" w:space="0" w:color="auto"/>
                      </w:divBdr>
                    </w:div>
                  </w:divsChild>
                </w:div>
                <w:div w:id="2142189084">
                  <w:marLeft w:val="0"/>
                  <w:marRight w:val="0"/>
                  <w:marTop w:val="0"/>
                  <w:marBottom w:val="0"/>
                  <w:divBdr>
                    <w:top w:val="none" w:sz="0" w:space="0" w:color="auto"/>
                    <w:left w:val="none" w:sz="0" w:space="0" w:color="auto"/>
                    <w:bottom w:val="none" w:sz="0" w:space="0" w:color="auto"/>
                    <w:right w:val="none" w:sz="0" w:space="0" w:color="auto"/>
                  </w:divBdr>
                  <w:divsChild>
                    <w:div w:id="48366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13992">
          <w:marLeft w:val="0"/>
          <w:marRight w:val="0"/>
          <w:marTop w:val="0"/>
          <w:marBottom w:val="0"/>
          <w:divBdr>
            <w:top w:val="none" w:sz="0" w:space="0" w:color="auto"/>
            <w:left w:val="none" w:sz="0" w:space="0" w:color="auto"/>
            <w:bottom w:val="none" w:sz="0" w:space="0" w:color="auto"/>
            <w:right w:val="none" w:sz="0" w:space="0" w:color="auto"/>
          </w:divBdr>
        </w:div>
        <w:div w:id="2121409113">
          <w:marLeft w:val="0"/>
          <w:marRight w:val="0"/>
          <w:marTop w:val="0"/>
          <w:marBottom w:val="0"/>
          <w:divBdr>
            <w:top w:val="none" w:sz="0" w:space="0" w:color="auto"/>
            <w:left w:val="none" w:sz="0" w:space="0" w:color="auto"/>
            <w:bottom w:val="none" w:sz="0" w:space="0" w:color="auto"/>
            <w:right w:val="none" w:sz="0" w:space="0" w:color="auto"/>
          </w:divBdr>
          <w:divsChild>
            <w:div w:id="842475772">
              <w:marLeft w:val="0"/>
              <w:marRight w:val="0"/>
              <w:marTop w:val="0"/>
              <w:marBottom w:val="0"/>
              <w:divBdr>
                <w:top w:val="none" w:sz="0" w:space="0" w:color="auto"/>
                <w:left w:val="none" w:sz="0" w:space="0" w:color="auto"/>
                <w:bottom w:val="none" w:sz="0" w:space="0" w:color="auto"/>
                <w:right w:val="none" w:sz="0" w:space="0" w:color="auto"/>
              </w:divBdr>
            </w:div>
            <w:div w:id="967861352">
              <w:marLeft w:val="0"/>
              <w:marRight w:val="0"/>
              <w:marTop w:val="0"/>
              <w:marBottom w:val="0"/>
              <w:divBdr>
                <w:top w:val="none" w:sz="0" w:space="0" w:color="auto"/>
                <w:left w:val="none" w:sz="0" w:space="0" w:color="auto"/>
                <w:bottom w:val="none" w:sz="0" w:space="0" w:color="auto"/>
                <w:right w:val="none" w:sz="0" w:space="0" w:color="auto"/>
              </w:divBdr>
            </w:div>
            <w:div w:id="1250118391">
              <w:marLeft w:val="0"/>
              <w:marRight w:val="0"/>
              <w:marTop w:val="0"/>
              <w:marBottom w:val="0"/>
              <w:divBdr>
                <w:top w:val="none" w:sz="0" w:space="0" w:color="auto"/>
                <w:left w:val="none" w:sz="0" w:space="0" w:color="auto"/>
                <w:bottom w:val="none" w:sz="0" w:space="0" w:color="auto"/>
                <w:right w:val="none" w:sz="0" w:space="0" w:color="auto"/>
              </w:divBdr>
            </w:div>
            <w:div w:id="1441295232">
              <w:marLeft w:val="0"/>
              <w:marRight w:val="0"/>
              <w:marTop w:val="0"/>
              <w:marBottom w:val="0"/>
              <w:divBdr>
                <w:top w:val="none" w:sz="0" w:space="0" w:color="auto"/>
                <w:left w:val="none" w:sz="0" w:space="0" w:color="auto"/>
                <w:bottom w:val="none" w:sz="0" w:space="0" w:color="auto"/>
                <w:right w:val="none" w:sz="0" w:space="0" w:color="auto"/>
              </w:divBdr>
            </w:div>
            <w:div w:id="1863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f80429-180e-41dc-ada4-4c26aa80f5c5">
      <Terms xmlns="http://schemas.microsoft.com/office/infopath/2007/PartnerControls"/>
    </lcf76f155ced4ddcb4097134ff3c332f>
    <TaxCatchAll xmlns="14d2603c-092b-4122-a2c7-19afa41f31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3D07F863E4714F9A3F1DCF8E982C6F" ma:contentTypeVersion="16" ma:contentTypeDescription="Create a new document." ma:contentTypeScope="" ma:versionID="a553dedfde8e793ca0635652c4da6b21">
  <xsd:schema xmlns:xsd="http://www.w3.org/2001/XMLSchema" xmlns:xs="http://www.w3.org/2001/XMLSchema" xmlns:p="http://schemas.microsoft.com/office/2006/metadata/properties" xmlns:ns2="29f80429-180e-41dc-ada4-4c26aa80f5c5" xmlns:ns3="14d2603c-092b-4122-a2c7-19afa41f31ed" targetNamespace="http://schemas.microsoft.com/office/2006/metadata/properties" ma:root="true" ma:fieldsID="f73ee6fdc813e6a775c7c296559a590e" ns2:_="" ns3:_="">
    <xsd:import namespace="29f80429-180e-41dc-ada4-4c26aa80f5c5"/>
    <xsd:import namespace="14d2603c-092b-4122-a2c7-19afa41f31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80429-180e-41dc-ada4-4c26aa80f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3e20a0-68e4-4db8-a42e-8f9dcd090a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2603c-092b-4122-a2c7-19afa41f31e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b54d44-ba1d-4221-ba04-c0dde5d79c65}" ma:internalName="TaxCatchAll" ma:showField="CatchAllData" ma:web="14d2603c-092b-4122-a2c7-19afa41f3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4E84D6-3437-49B5-B9D0-E991818F1514}">
  <ds:schemaRefs>
    <ds:schemaRef ds:uri="http://schemas.microsoft.com/sharepoint/v3/contenttype/forms"/>
  </ds:schemaRefs>
</ds:datastoreItem>
</file>

<file path=customXml/itemProps2.xml><?xml version="1.0" encoding="utf-8"?>
<ds:datastoreItem xmlns:ds="http://schemas.openxmlformats.org/officeDocument/2006/customXml" ds:itemID="{58F90B6B-716E-4E0B-9EFD-252B3DB61E32}">
  <ds:schemaRefs>
    <ds:schemaRef ds:uri="http://schemas.microsoft.com/office/2006/metadata/properties"/>
    <ds:schemaRef ds:uri="http://schemas.microsoft.com/office/infopath/2007/PartnerControls"/>
    <ds:schemaRef ds:uri="29f80429-180e-41dc-ada4-4c26aa80f5c5"/>
    <ds:schemaRef ds:uri="14d2603c-092b-4122-a2c7-19afa41f31ed"/>
  </ds:schemaRefs>
</ds:datastoreItem>
</file>

<file path=customXml/itemProps3.xml><?xml version="1.0" encoding="utf-8"?>
<ds:datastoreItem xmlns:ds="http://schemas.openxmlformats.org/officeDocument/2006/customXml" ds:itemID="{1FB3EDBA-6429-436B-B2D3-ED7D856FD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80429-180e-41dc-ada4-4c26aa80f5c5"/>
    <ds:schemaRef ds:uri="14d2603c-092b-4122-a2c7-19afa41f3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1704</Words>
  <Characters>9719</Characters>
  <Application>Microsoft Office Word</Application>
  <DocSecurity>4</DocSecurity>
  <Lines>80</Lines>
  <Paragraphs>22</Paragraphs>
  <ScaleCrop>false</ScaleCrop>
  <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Davis</dc:creator>
  <cp:keywords/>
  <dc:description/>
  <cp:lastModifiedBy>Samantha Faupula</cp:lastModifiedBy>
  <cp:revision>2</cp:revision>
  <dcterms:created xsi:type="dcterms:W3CDTF">2023-06-29T20:02:00Z</dcterms:created>
  <dcterms:modified xsi:type="dcterms:W3CDTF">2023-06-29T20:02:00Z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0x010100053D07F863E4714F9A3F1DCF8E982C6F</vt:lpwstr>
  </property>
  <property fmtid="{D5CDD505-2E9C-101B-9397-08002B2CF9AE}" pid="3" name="MediaServiceImageTags">
    <vt:lpwstr/>
  </property>
</Properties>
</file>